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15"/>
        <w:jc w:val="center"/>
        <w:shd w:val="clear" w:color="auto" w:fill="ffffff"/>
        <w:tabs>
          <w:tab w:val="clear" w:pos="708" w:leader="none"/>
          <w:tab w:val="left" w:pos="69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5"/>
        <w:jc w:val="center"/>
        <w:shd w:val="clear" w:color="auto" w:fill="ffffff"/>
        <w:tabs>
          <w:tab w:val="clear" w:pos="708" w:leader="none"/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ДОГОВОР ПОСТАВКИ № </w:t>
      </w:r>
      <w:r>
        <w:rPr>
          <w:b/>
          <w:bCs/>
          <w:sz w:val="24"/>
          <w:szCs w:val="24"/>
          <w:highlight w:val="none"/>
        </w:rPr>
      </w:r>
    </w:p>
    <w:p>
      <w:pPr>
        <w:pStyle w:val="815"/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5"/>
        <w:jc w:val="right"/>
        <w:shd w:val="clear" w:color="auto" w:fill="ffffff"/>
        <w:tabs>
          <w:tab w:val="clear" w:pos="708" w:leader="none"/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Благовещенск</w:t>
        <w:tab/>
        <w:t xml:space="preserve">   «___» ___ 20___ г.</w:t>
      </w:r>
      <w:r>
        <w:rPr>
          <w:bCs/>
          <w:sz w:val="24"/>
          <w:szCs w:val="24"/>
        </w:rPr>
      </w:r>
    </w:p>
    <w:p>
      <w:pPr>
        <w:pStyle w:val="815"/>
        <w:ind w:firstLine="709"/>
        <w:jc w:val="right"/>
        <w:shd w:val="clear" w:color="auto" w:fill="ffffff"/>
        <w:tabs>
          <w:tab w:val="clear" w:pos="708" w:leader="none"/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15"/>
        <w:ind w:firstLine="709"/>
        <w:jc w:val="both"/>
      </w:pPr>
      <w:r>
        <w:rPr>
          <w:b/>
          <w:bCs/>
          <w:sz w:val="24"/>
          <w:szCs w:val="24"/>
        </w:rPr>
        <w:t xml:space="preserve">Акционерное общество «Дальневосточная генерирующая компания» (АО «ДГК») </w:t>
      </w:r>
      <w:r>
        <w:rPr>
          <w:sz w:val="24"/>
          <w:szCs w:val="24"/>
        </w:rPr>
        <w:t xml:space="preserve">(далее – «Покупатель»), в лице директора структурного подразделения действующего на основании доверенности ________________ от________________, с одной стороны, и</w:t>
      </w:r>
      <w:r/>
    </w:p>
    <w:p>
      <w:pPr>
        <w:pStyle w:val="815"/>
        <w:ind w:firstLine="709"/>
        <w:jc w:val="both"/>
      </w:pPr>
      <w:r>
        <w:rPr>
          <w:b/>
          <w:bCs/>
          <w:sz w:val="24"/>
          <w:szCs w:val="24"/>
        </w:rPr>
        <w:t xml:space="preserve">Полное наименование контрагента (Сокращенное наименование контрагента)</w:t>
      </w:r>
      <w:r>
        <w:rPr>
          <w:sz w:val="24"/>
          <w:szCs w:val="24"/>
        </w:rPr>
        <w:t xml:space="preserve"> (далее – «Поставщик»), в лице ________________, действующего на основании ______________, с другой стороны, совместно в дальнейшем именуемые «Стороны», а по отдельности – «Сторона», заключили настоящий договор (далее – «Договор») о нижеследующем:</w:t>
      </w:r>
      <w:r/>
    </w:p>
    <w:p>
      <w:pPr>
        <w:pStyle w:val="815"/>
        <w:ind w:firstLine="709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815"/>
        <w:ind w:firstLine="709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Термины и определения</w:t>
      </w:r>
      <w:r>
        <w:rPr>
          <w:b/>
          <w:bCs/>
          <w:sz w:val="24"/>
          <w:szCs w:val="24"/>
          <w:highlight w:val="white"/>
        </w:rPr>
      </w:r>
    </w:p>
    <w:p>
      <w:pPr>
        <w:pStyle w:val="815"/>
        <w:ind w:firstLine="709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</w:t>
      </w:r>
      <w:r>
        <w:rPr>
          <w:bCs/>
          <w:sz w:val="24"/>
          <w:szCs w:val="24"/>
          <w:highlight w:val="white"/>
        </w:rPr>
        <w:t xml:space="preserve">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</w:p>
    <w:p>
      <w:pPr>
        <w:pStyle w:val="815"/>
        <w:ind w:firstLine="709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оформляемый Покупателем в одностороннем порядке при приемке поставленного Товара по количеству, качеству и комплектности.</w:t>
      </w:r>
      <w:r>
        <w:rPr>
          <w:sz w:val="24"/>
          <w:szCs w:val="24"/>
          <w:highlight w:val="white"/>
        </w:rPr>
      </w:r>
    </w:p>
    <w:p>
      <w:pPr>
        <w:pStyle w:val="910"/>
        <w:ind w:left="0" w:firstLine="709"/>
        <w:jc w:val="both"/>
        <w:shd w:val="clear" w:color="auto" w:fill="ffffff"/>
        <w:tabs>
          <w:tab w:val="left" w:pos="567" w:leader="none"/>
          <w:tab w:val="clear" w:pos="708" w:leader="none"/>
          <w:tab w:val="left" w:pos="1134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 в течение которого качество поставленного Товара должно соответствовать требованиям Договора и Применимого</w:t>
      </w:r>
      <w:r>
        <w:rPr>
          <w:sz w:val="24"/>
          <w:szCs w:val="24"/>
          <w:lang w:eastAsia="en-US"/>
        </w:rPr>
        <w:t xml:space="preserve"> права, и Поставщик и/ или изготовитель Товара 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Товара.</w:t>
      </w:r>
      <w:r>
        <w:rPr>
          <w:sz w:val="24"/>
          <w:szCs w:val="24"/>
          <w:lang w:eastAsia="en-US"/>
        </w:rPr>
      </w:r>
    </w:p>
    <w:p>
      <w:pPr>
        <w:pStyle w:val="910"/>
        <w:ind w:left="0" w:firstLine="709"/>
        <w:jc w:val="both"/>
        <w:shd w:val="clear" w:color="auto" w:fill="ffffff"/>
        <w:tabs>
          <w:tab w:val="left" w:pos="567" w:leader="none"/>
          <w:tab w:val="clear" w:pos="708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white"/>
        </w:rPr>
      </w:r>
    </w:p>
    <w:p>
      <w:pPr>
        <w:pStyle w:val="910"/>
        <w:ind w:left="0" w:firstLine="709"/>
        <w:jc w:val="both"/>
        <w:shd w:val="clear" w:color="auto" w:fill="ffffff"/>
        <w:tabs>
          <w:tab w:val="left" w:pos="0" w:leader="none"/>
          <w:tab w:val="clear" w:pos="708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Покупателем и Поставщиком,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</w:p>
    <w:p>
      <w:pPr>
        <w:pStyle w:val="910"/>
        <w:ind w:left="0" w:firstLine="709"/>
        <w:jc w:val="both"/>
        <w:shd w:val="clear" w:color="auto" w:fill="ffffff"/>
        <w:tabs>
          <w:tab w:val="left" w:pos="0" w:leader="none"/>
          <w:tab w:val="clear" w:pos="708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</w:p>
    <w:p>
      <w:pPr>
        <w:pStyle w:val="815"/>
        <w:ind w:firstLine="709"/>
        <w:jc w:val="both"/>
        <w:tabs>
          <w:tab w:val="left" w:pos="0" w:leader="none"/>
          <w:tab w:val="clear" w:pos="708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</w:t>
      </w:r>
      <w:r>
        <w:rPr>
          <w:sz w:val="24"/>
          <w:szCs w:val="24"/>
          <w:lang w:eastAsia="en-US"/>
        </w:rPr>
        <w:t xml:space="preserve">циональные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Товару.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</w:p>
    <w:p>
      <w:pPr>
        <w:pStyle w:val="910"/>
        <w:ind w:left="0" w:firstLine="709"/>
        <w:jc w:val="both"/>
        <w:shd w:val="clear" w:color="auto" w:fill="ffffff"/>
        <w:tabs>
          <w:tab w:val="left" w:pos="0" w:leader="none"/>
          <w:tab w:val="clear" w:pos="708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«Накладная ТОРГ-12» – </w:t>
      </w:r>
      <w:r>
        <w:rPr>
          <w:b w:val="0"/>
          <w:bCs w:val="0"/>
          <w:sz w:val="24"/>
          <w:szCs w:val="24"/>
          <w:lang w:eastAsia="en-US"/>
        </w:rPr>
        <w:t xml:space="preserve">документ, оформляемый по унифицированной форме </w:t>
        <w:br/>
        <w:t xml:space="preserve">№ТОРГ-12 «Товарная накладная», утвержденной постановлением Госкомстата РФ </w:t>
        <w:br/>
        <w:t xml:space="preserve">от 25.12.1998 №132, подписываемый Сторонами после завершения приемки Товара по количеству, качеству и комплектности.</w:t>
      </w:r>
      <w:r>
        <w:rPr>
          <w:b/>
          <w:sz w:val="24"/>
          <w:szCs w:val="24"/>
          <w:lang w:eastAsia="en-US"/>
        </w:rPr>
      </w:r>
    </w:p>
    <w:p>
      <w:pPr>
        <w:pStyle w:val="815"/>
        <w:ind w:firstLine="709"/>
        <w:jc w:val="both"/>
        <w:tabs>
          <w:tab w:val="left" w:pos="0" w:leader="none"/>
          <w:tab w:val="clear" w:pos="708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lang w:eastAsia="en-US"/>
        </w:rPr>
      </w:r>
    </w:p>
    <w:p>
      <w:pPr>
        <w:pStyle w:val="815"/>
        <w:ind w:firstLine="709"/>
        <w:jc w:val="both"/>
        <w:tabs>
          <w:tab w:val="left" w:pos="0" w:leader="none"/>
          <w:tab w:val="clear" w:pos="708" w:leader="none"/>
        </w:tabs>
        <w:rPr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 2 Дого</w:t>
      </w:r>
      <w:r>
        <w:rPr>
          <w:sz w:val="24"/>
          <w:szCs w:val="24"/>
          <w:lang w:eastAsia="en-US"/>
        </w:rPr>
        <w:t xml:space="preserve">вора сумма, которую Покупатель обязуется уплатить Поставщику в порядке и на условиях, установленных Договором, включающая компенсацию всех издержек Поставщика и причитающееся ему вознаграждение, а также инфляционные риски на весь период действия Договора. </w:t>
      </w:r>
      <w:r>
        <w:rPr>
          <w:sz w:val="24"/>
          <w:szCs w:val="24"/>
          <w:highlight w:val="none"/>
          <w:lang w:eastAsia="en-US"/>
        </w:rPr>
      </w:r>
    </w:p>
    <w:p>
      <w:pPr>
        <w:pStyle w:val="815"/>
        <w:ind w:firstLine="709"/>
        <w:jc w:val="both"/>
        <w:tabs>
          <w:tab w:val="left" w:pos="0" w:leader="none"/>
          <w:tab w:val="clear" w:pos="708" w:leader="none"/>
        </w:tabs>
        <w:rPr>
          <w:sz w:val="24"/>
          <w:szCs w:val="24"/>
          <w:highlight w:val="none"/>
          <w:lang w:eastAsia="en-US"/>
        </w:rPr>
      </w:pPr>
      <w:r>
        <w:rPr>
          <w:sz w:val="24"/>
          <w:szCs w:val="24"/>
          <w:lang w:eastAsia="en-US"/>
        </w:rPr>
        <w:t xml:space="preserve">«</w:t>
      </w:r>
      <w:r>
        <w:rPr>
          <w:b/>
          <w:bCs/>
          <w:sz w:val="24"/>
          <w:szCs w:val="24"/>
          <w:lang w:eastAsia="en-US"/>
        </w:rPr>
        <w:t xml:space="preserve">Универсальный передаточный документ (УПД)</w:t>
      </w:r>
      <w:r>
        <w:rPr>
          <w:sz w:val="24"/>
          <w:szCs w:val="24"/>
          <w:lang w:eastAsia="en-US"/>
        </w:rPr>
        <w:t xml:space="preserve">» – документ, который одновременно выполняет функции счёта-фактуры и первичного документа </w:t>
      </w:r>
      <w:r>
        <w:rPr>
          <w:sz w:val="24"/>
          <w:szCs w:val="24"/>
          <w:highlight w:val="none"/>
          <w:lang w:eastAsia="en-US"/>
        </w:rPr>
      </w:r>
    </w:p>
    <w:p>
      <w:pPr>
        <w:pStyle w:val="815"/>
        <w:ind w:firstLine="709"/>
        <w:jc w:val="both"/>
        <w:tabs>
          <w:tab w:val="left" w:pos="0" w:leader="none"/>
          <w:tab w:val="clear" w:pos="708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15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</w:p>
    <w:p>
      <w:pPr>
        <w:pStyle w:val="81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в порядке и сроки, установленные Договором, передать в собственность Покупателю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rFonts w:eastAsia="Calibri" w:cs="Times New Roman"/>
          <w:b w:val="0"/>
          <w:bCs w:val="0"/>
          <w:i/>
          <w:iCs/>
          <w:sz w:val="24"/>
          <w:szCs w:val="24"/>
          <w:lang w:eastAsia="en-US"/>
        </w:rPr>
        <w:t xml:space="preserve">щёточно-контактный аппарат</w:t>
      </w:r>
      <w:r>
        <w:rPr>
          <w:rFonts w:cs="Times New Roman"/>
          <w:sz w:val="24"/>
          <w:szCs w:val="24"/>
        </w:rPr>
        <w:t xml:space="preserve"> для техническокого перевооружения ЩКА турбогенераторов ст.№1-3 Благовещенской ТЭЦ </w:t>
      </w:r>
      <w:r>
        <w:rPr>
          <w:bCs/>
          <w:sz w:val="24"/>
          <w:szCs w:val="24"/>
        </w:rPr>
        <w:t xml:space="preserve">(далее – Товар) в соответствии со Спецификацией (Приложение №1 к Договору), оказа</w:t>
      </w:r>
      <w:r>
        <w:rPr>
          <w:bCs/>
          <w:sz w:val="24"/>
          <w:szCs w:val="24"/>
          <w:shd w:val="clear" w:color="auto" w:fill="ffffff"/>
        </w:rPr>
        <w:t xml:space="preserve">ть шефмонтажные и шефналадочные услуги по установке Товара (далее – услуги) а Покупатель обязуется принять и уплатить Цену Договора.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в соответствии со Спецификацией (Приложение №1 к Договору).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а также место его поставки и Грузополучатель указаны в Спецификации (Приложение №1).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highlight w:val="none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 xml:space="preserve"> </w:t>
      </w:r>
      <w:r>
        <w:rPr>
          <w:bCs/>
          <w:sz w:val="24"/>
          <w:szCs w:val="24"/>
          <w:shd w:val="clear" w:color="auto" w:fill="ffffff"/>
        </w:rPr>
        <w:t xml:space="preserve">Срок поставки товара составляет 378 (триста семьдесят восемь) календарных дней, начиная с 01.01.2027 года.</w:t>
      </w:r>
      <w:r>
        <w:rPr>
          <w:highlight w:val="none"/>
          <w:shd w:val="clear" w:color="auto" w:fill="ffffff"/>
        </w:rPr>
      </w:r>
    </w:p>
    <w:p>
      <w:pPr>
        <w:pStyle w:val="81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Продолжите</w:t>
      </w:r>
      <w:r>
        <w:rPr>
          <w:bCs/>
          <w:sz w:val="24"/>
          <w:szCs w:val="24"/>
          <w:shd w:val="clear" w:color="auto" w:fill="ffffff"/>
        </w:rPr>
        <w:t xml:space="preserve">льность оказания шефмонтажных и шефналадочных услуг - 30 (тридцать) календарных дней с даты поставки ЩКА.</w:t>
      </w:r>
      <w:r>
        <w:rPr>
          <w:sz w:val="24"/>
          <w:szCs w:val="24"/>
        </w:rPr>
      </w:r>
    </w:p>
    <w:p>
      <w:pPr>
        <w:pStyle w:val="815"/>
        <w:ind w:left="360" w:firstLine="0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Цена Договора и порядок расчетов</w:t>
      </w:r>
      <w:r>
        <w:rPr>
          <w:b/>
          <w:bCs/>
          <w:sz w:val="24"/>
          <w:szCs w:val="24"/>
          <w:highlight w:val="white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</w:pPr>
      <w:r>
        <w:rPr>
          <w:sz w:val="24"/>
          <w:szCs w:val="24"/>
        </w:rPr>
        <w:t xml:space="preserve">2.1. </w:t>
      </w:r>
      <w:r>
        <w:rPr>
          <w:sz w:val="24"/>
          <w:szCs w:val="24"/>
          <w:highlight w:val="white"/>
        </w:rPr>
        <w:t xml:space="preserve">Цена Договора является предельной и составляет ________________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  <w:highlight w:val="white"/>
        </w:rPr>
        <w:t xml:space="preserve">(</w:t>
      </w:r>
      <w:r>
        <w:rPr>
          <w:bCs/>
          <w:sz w:val="24"/>
          <w:szCs w:val="24"/>
          <w:highlight w:val="white"/>
        </w:rPr>
        <w:t xml:space="preserve">________________</w:t>
      </w:r>
      <w:r>
        <w:rPr>
          <w:sz w:val="24"/>
          <w:szCs w:val="24"/>
          <w:highlight w:val="white"/>
        </w:rPr>
        <w:t xml:space="preserve">) рублей 00 копеек, в том числе НДС (22%) составляет </w:t>
      </w:r>
      <w:r>
        <w:rPr>
          <w:bCs/>
          <w:sz w:val="24"/>
          <w:szCs w:val="24"/>
          <w:highlight w:val="white"/>
        </w:rPr>
        <w:t xml:space="preserve">________________</w:t>
      </w:r>
      <w:r>
        <w:rPr>
          <w:sz w:val="24"/>
          <w:szCs w:val="24"/>
          <w:highlight w:val="white"/>
        </w:rPr>
        <w:t xml:space="preserve"> (</w:t>
      </w:r>
      <w:r>
        <w:rPr>
          <w:bCs/>
          <w:sz w:val="24"/>
          <w:szCs w:val="24"/>
          <w:highlight w:val="white"/>
        </w:rPr>
        <w:t xml:space="preserve">________________</w:t>
      </w:r>
      <w:r>
        <w:rPr>
          <w:sz w:val="24"/>
          <w:szCs w:val="24"/>
          <w:highlight w:val="white"/>
        </w:rPr>
        <w:t xml:space="preserve">) рублей 00 копеек»</w:t>
      </w:r>
      <w:r>
        <w:rPr>
          <w:bCs/>
          <w:sz w:val="24"/>
          <w:szCs w:val="24"/>
          <w:highlight w:val="white"/>
        </w:rPr>
        <w:t xml:space="preserve">. </w:t>
      </w:r>
      <w:r/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2.1.1. Стоимость Товара в соответствии со Спецификацией (Приложение №1 к Договору) является твердой и составляет ________________ </w:t>
      </w:r>
      <w:r>
        <w:rPr>
          <w:bCs/>
          <w:sz w:val="24"/>
          <w:szCs w:val="24"/>
          <w:highlight w:val="white"/>
        </w:rPr>
        <w:t xml:space="preserve">(________________) рублей 00 копеек, в том числе НДС (22%) составляет ________________ (________________</w:t>
      </w:r>
      <w:r>
        <w:rPr>
          <w:bCs/>
          <w:sz w:val="24"/>
          <w:szCs w:val="24"/>
          <w:shd w:val="clear" w:color="auto" w:fill="ffffff"/>
        </w:rPr>
        <w:t xml:space="preserve">) рублей 00 копеек. </w:t>
      </w:r>
      <w:r>
        <w:rPr>
          <w:sz w:val="24"/>
          <w:szCs w:val="24"/>
          <w:highlight w:val="none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2.1.2 Стоимость </w:t>
      </w:r>
      <w:r>
        <w:rPr>
          <w:bCs/>
          <w:sz w:val="24"/>
          <w:szCs w:val="24"/>
          <w:shd w:val="clear" w:color="auto" w:fill="ffffff"/>
        </w:rPr>
        <w:t xml:space="preserve">шефмонтажных и шефналадочных</w:t>
      </w:r>
      <w:r>
        <w:rPr>
          <w:sz w:val="24"/>
          <w:szCs w:val="24"/>
          <w:shd w:val="clear" w:color="auto" w:fill="ffffff"/>
        </w:rPr>
        <w:t xml:space="preserve"> Услуг является предельной и составляет ________________</w:t>
      </w:r>
      <w:r>
        <w:rPr>
          <w:bCs/>
          <w:sz w:val="24"/>
          <w:szCs w:val="24"/>
          <w:shd w:val="clear" w:color="auto" w:fill="ffffff"/>
        </w:rPr>
        <w:t xml:space="preserve"> (________________) рублей 00 копеек, в том числе НДС (22%) составляет ________________ (________________) рублей 00 копеек. </w:t>
      </w:r>
      <w:r>
        <w:rPr>
          <w:highlight w:val="none"/>
          <w:shd w:val="clear" w:color="auto" w:fill="ffffff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  <w:rPr>
          <w:highlight w:val="none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 xml:space="preserve">2.2. Цена за единицу Товара определяется в Спецификации (Приложение №1 к Договору)</w:t>
      </w:r>
      <w:r>
        <w:rPr>
          <w:sz w:val="24"/>
          <w:shd w:val="clear" w:color="auto" w:fill="ffffff"/>
        </w:rPr>
        <w:t xml:space="preserve"> </w:t>
      </w:r>
      <w:r>
        <w:rPr>
          <w:bCs/>
          <w:sz w:val="24"/>
          <w:szCs w:val="24"/>
          <w:shd w:val="clear" w:color="auto" w:fill="ffffff"/>
        </w:rPr>
        <w:t xml:space="preserve">и является фиксированной в течение всего срока действия Договора. </w:t>
      </w:r>
      <w:r>
        <w:rPr>
          <w:highlight w:val="none"/>
          <w:shd w:val="clear" w:color="auto" w:fill="ffffff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2.3. Цена Товара включает в себя прибыль Поставщика, а также все расходы и затраты Поставщика на: </w:t>
      </w:r>
      <w:r>
        <w:rPr>
          <w:bCs/>
          <w:sz w:val="24"/>
          <w:szCs w:val="24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- производство и/ или приобретение Товара в соответствии со Спецификацией (Приложение № 1 к Договору);</w:t>
      </w:r>
      <w:r>
        <w:rPr>
          <w:sz w:val="24"/>
          <w:szCs w:val="24"/>
          <w:highlight w:val="none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погрузку, транспортировку Товара до места поставки, стоимость тары и упаковки; </w:t>
      </w:r>
      <w:r>
        <w:rPr>
          <w:bCs/>
          <w:sz w:val="24"/>
          <w:szCs w:val="24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подлежащие уплате налоги, сборы и пошлины (в том числе по таможенному оформлению Товара, если применимо);</w:t>
      </w:r>
      <w:r>
        <w:rPr>
          <w:bCs/>
          <w:sz w:val="24"/>
          <w:szCs w:val="24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заработную плату, накладные и командировочные расходы персонала Поставщика;</w:t>
      </w:r>
      <w:r>
        <w:rPr>
          <w:bCs/>
          <w:sz w:val="24"/>
          <w:szCs w:val="24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- все прочие затраты и ра</w:t>
      </w:r>
      <w:r>
        <w:rPr>
          <w:bCs/>
          <w:sz w:val="24"/>
          <w:szCs w:val="24"/>
          <w:shd w:val="clear" w:color="auto" w:fill="ffffff"/>
        </w:rPr>
        <w:t xml:space="preserve">сходы Поставщика, связанные с поставкой Товара 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Договора. </w:t>
      </w:r>
      <w:r>
        <w:rPr>
          <w:sz w:val="24"/>
          <w:szCs w:val="24"/>
          <w:highlight w:val="none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shd w:val="clear" w:color="auto" w:fill="ffffff"/>
        </w:rPr>
        <w:t xml:space="preserve">2.4 Калькуляция на выполнение шефмонтажных и шефналадочных услуг подлежит согласованию Сторонами в течение 30 (тридцати) рабочих дней с даты подписания</w:t>
      </w:r>
      <w:r>
        <w:rPr>
          <w:bCs/>
          <w:sz w:val="24"/>
          <w:szCs w:val="24"/>
          <w:highlight w:val="white"/>
        </w:rPr>
        <w:t xml:space="preserve"> Договора Сторонами. После согласования калькуляции Стороны обязаны уточнить Стоимость Услуг и Цену Договора путем заключения дополнительного соглашения к Договор</w:t>
      </w:r>
      <w:r>
        <w:rPr>
          <w:bCs/>
          <w:sz w:val="24"/>
          <w:szCs w:val="24"/>
          <w:highlight w:val="white"/>
        </w:rPr>
        <w:t xml:space="preserve">у с приложением калькуляции. При несогласовании калькуляции стоимости услуг в установленный срок Поставщик обязан по соответствующему письменному требованию Покупателя приостановить исполнение Договора полностью или в части до момента такого согласования. </w:t>
      </w:r>
      <w:r>
        <w:rPr>
          <w:sz w:val="24"/>
          <w:szCs w:val="24"/>
          <w:highlight w:val="white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2.5. Изменение цены Договора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sz w:val="24"/>
          <w:szCs w:val="24"/>
          <w:highlight w:val="white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left" w:pos="568" w:leader="none"/>
          <w:tab w:val="clear" w:pos="708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2.6. Оплата Товара осуществляется в следующем порядке:</w:t>
      </w:r>
      <w:r>
        <w:rPr>
          <w:sz w:val="24"/>
          <w:szCs w:val="24"/>
          <w:highlight w:val="white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2.6.1. </w:t>
      </w:r>
      <w:r>
        <w:rPr>
          <w:sz w:val="24"/>
          <w:szCs w:val="24"/>
          <w:shd w:val="clear" w:color="auto" w:fill="ffffff"/>
        </w:rPr>
        <w:t xml:space="preserve">Авансовый  платеж в размере 30% от стоимости Товара осуществляется в течение 30 (тридцати) календарных дней</w:t>
      </w:r>
      <w:r>
        <w:rPr>
          <w:sz w:val="24"/>
          <w:szCs w:val="24"/>
          <w:shd w:val="clear" w:color="auto" w:fill="ffffff"/>
        </w:rPr>
        <w:t xml:space="preserve"> с даты с даты получения Покупателем счета, выставленного Поставщиком, при условии получения Покупателем уведомления от Поставщика о начале изготовления соответствующего товара, но не ранее 30 (тридцати) календарных дней до даты начала изготовления товара.</w:t>
      </w:r>
      <w:r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highlight w:val="none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2.6.2. Остаток платежа в размере 70% от стоимости пост</w:t>
      </w:r>
      <w:r>
        <w:rPr>
          <w:sz w:val="24"/>
          <w:szCs w:val="24"/>
        </w:rPr>
        <w:t xml:space="preserve">авленного Товара осуществляется Покупателем по факту поставки Товара в течение 7 (семи) рабочих дней (для МСП) / 45 (сорока пяти) календарных дней с момента подписания Покупателем (грузополучателем) Накладной ТОРГ-12/УПД при наличии акта входного контроля.</w:t>
      </w:r>
      <w:r>
        <w:rPr>
          <w:sz w:val="24"/>
          <w:szCs w:val="24"/>
          <w:highlight w:val="none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/>
          <w:sz w:val="24"/>
          <w:szCs w:val="24"/>
          <w:shd w:val="clear" w:color="auto" w:fill="ffffff"/>
        </w:rPr>
        <w:t xml:space="preserve">2.6.3. Оплата за оказанные шефмонтажные и шефналадочные услуги осуществляется в течение 7 (семи) рабочих дней (для МСП) / 45 (сорока пяти) календарных дней с даты подписания</w:t>
      </w:r>
      <w:r>
        <w:rPr>
          <w:rFonts w:eastAsia="Times New Roman" w:cs="Times New Roman"/>
          <w:sz w:val="24"/>
          <w:szCs w:val="24"/>
        </w:rPr>
        <w:t xml:space="preserve"> счета-фактуры/УПД.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eastAsia="Times New Roman" w:cs="Times New Roman"/>
          <w:sz w:val="24"/>
          <w:szCs w:val="24"/>
          <w:highlight w:val="white"/>
        </w:rPr>
        <w:t xml:space="preserve">2.6.4.</w:t>
      </w:r>
      <w:r>
        <w:rPr>
          <w:rFonts w:eastAsia="Times New Roman" w:cs="Times New Roman"/>
          <w:sz w:val="24"/>
          <w:szCs w:val="24"/>
          <w:shd w:val="clear" w:color="auto" w:fill="ffffff"/>
        </w:rPr>
        <w:t xml:space="preserve"> Поставщик в срок не позднее 3 (трех) рабочих дней до предполагаемой даты выплаты авансовог</w:t>
      </w:r>
      <w:r>
        <w:rPr>
          <w:rFonts w:eastAsia="Times New Roman" w:cs="Times New Roman"/>
          <w:sz w:val="24"/>
          <w:szCs w:val="24"/>
          <w:shd w:val="clear" w:color="auto" w:fill="ffffff"/>
        </w:rPr>
        <w:t xml:space="preserve">о платежа, должен предоставить Покупателю Банковскую гарантию на возврат авансового платежа в размере авансового платежа, отвечающую требованиям, указанным в Приложениях №2 и №3, по акту приема-передачи по форме, согласно Приложению №4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clear" w:pos="708" w:leader="none"/>
        </w:tabs>
        <w:rPr>
          <w:highlight w:val="none"/>
          <w:shd w:val="clear" w:color="auto" w:fill="ffffff"/>
        </w:rPr>
      </w:pPr>
      <w:r>
        <w:rPr>
          <w:rFonts w:eastAsia="Times New Roman" w:cs="Times New Roman"/>
          <w:sz w:val="24"/>
          <w:szCs w:val="24"/>
          <w:shd w:val="clear" w:color="auto" w:fill="ffffff"/>
        </w:rPr>
        <w:t xml:space="preserve">Положение пункта 2.6.4. Договора вступают в силу в отношении ав</w:t>
      </w:r>
      <w:r>
        <w:rPr>
          <w:rFonts w:eastAsia="Times New Roman" w:cs="Times New Roman"/>
          <w:sz w:val="24"/>
          <w:szCs w:val="24"/>
          <w:shd w:val="clear" w:color="auto" w:fill="ffffff"/>
        </w:rPr>
        <w:t xml:space="preserve">ансового платежа, по факту выплаты которого совокупная сумма неотработанных авансовых платежей, уплаченных и подлежащих уплате по Договору в соответствии с выставленными счетами Подрядчика, составляет 5 000 000 (пять миллионов) рублей и более без учета НДС</w:t>
      </w:r>
      <w:r>
        <w:rPr>
          <w:highlight w:val="none"/>
          <w:shd w:val="clear" w:color="auto" w:fill="ffffff"/>
        </w:rPr>
      </w:r>
    </w:p>
    <w:p>
      <w:pPr>
        <w:pStyle w:val="815"/>
        <w:ind w:left="0" w:right="0" w:firstLine="567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2.7. В случае выставления Поставщиком счета на сумму менее размера предусмотренного Договором платежа, оплата осуществляется по сум</w:t>
      </w:r>
      <w:r>
        <w:rPr>
          <w:sz w:val="24"/>
          <w:szCs w:val="24"/>
        </w:rPr>
        <w:t xml:space="preserve">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Покупателем не принимается и подлежит замене Поставщиком независимо от его фа</w:t>
      </w:r>
      <w:r>
        <w:rPr>
          <w:sz w:val="24"/>
          <w:szCs w:val="24"/>
        </w:rPr>
        <w:t xml:space="preserve">ктического вручения Покупателю. В случае выставления Поставщиком счета позднее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П</w:t>
      </w:r>
      <w:r>
        <w:rPr>
          <w:sz w:val="24"/>
          <w:szCs w:val="24"/>
          <w:highlight w:val="white"/>
        </w:rPr>
        <w:t xml:space="preserve">окупателем.</w:t>
      </w:r>
      <w:r>
        <w:rPr>
          <w:sz w:val="24"/>
          <w:szCs w:val="24"/>
          <w:highlight w:val="white"/>
        </w:rPr>
      </w:r>
    </w:p>
    <w:p>
      <w:pPr>
        <w:pStyle w:val="815"/>
        <w:ind w:left="0" w:right="0" w:firstLine="567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2.8. </w:t>
      </w:r>
      <w:r>
        <w:rPr>
          <w:bCs/>
          <w:sz w:val="24"/>
          <w:szCs w:val="24"/>
          <w:highlight w:val="white"/>
        </w:rPr>
        <w:t xml:space="preserve">Расчеты по Договору осуществляются в валюте Российской Федерации. </w:t>
      </w:r>
      <w:r>
        <w:rPr>
          <w:sz w:val="24"/>
          <w:szCs w:val="24"/>
          <w:highlight w:val="white"/>
        </w:rPr>
      </w:r>
    </w:p>
    <w:p>
      <w:pPr>
        <w:pStyle w:val="815"/>
        <w:ind w:left="0" w:right="0" w:firstLine="567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Оплата производится Покупателем путем перечисления денежных средств на расчетный счет Поставщика, указанный в Договоре. Обязательство Покупателя по осуществлению платежа считается исполненным с даты списания денежных средств с расчетного счета Покупателя.</w:t>
      </w:r>
      <w:r>
        <w:rPr>
          <w:sz w:val="24"/>
          <w:szCs w:val="24"/>
          <w:highlight w:val="white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left" w:pos="567" w:leader="none"/>
          <w:tab w:val="clear" w:pos="708" w:leader="none"/>
          <w:tab w:val="left" w:pos="716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2.9. </w:t>
      </w:r>
      <w:r>
        <w:rPr>
          <w:sz w:val="24"/>
          <w:szCs w:val="24"/>
          <w:highlight w:val="white"/>
        </w:rPr>
        <w:t xml:space="preserve">Индексация Цены Договора не допускается.</w:t>
      </w:r>
      <w:r>
        <w:rPr>
          <w:sz w:val="24"/>
          <w:szCs w:val="24"/>
          <w:highlight w:val="white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left" w:pos="567" w:leader="none"/>
          <w:tab w:val="clear" w:pos="708" w:leader="none"/>
          <w:tab w:val="left" w:pos="716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2.10. </w:t>
      </w:r>
      <w:r>
        <w:rPr>
          <w:sz w:val="24"/>
          <w:szCs w:val="24"/>
          <w:highlight w:val="white"/>
        </w:rPr>
        <w:t xml:space="preserve">Поставщик обязан представить Покупателю счет-фактуру/УПД, выставленный в сроки и оформленный в поря</w:t>
      </w:r>
      <w:r>
        <w:rPr>
          <w:sz w:val="24"/>
          <w:szCs w:val="24"/>
          <w:highlight w:val="white"/>
        </w:rPr>
        <w:t xml:space="preserve">дке, установленном законодательством Российской Федерации. В случае нарушения Поставщиком данного требования, он обязан произвести замену счета-фактуры/УПД в течение 3 (трех) рабочих дней с даты получения соответствующего письменного требования Покупателя.</w:t>
      </w:r>
      <w:r>
        <w:rPr>
          <w:sz w:val="24"/>
          <w:szCs w:val="24"/>
          <w:highlight w:val="none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left" w:pos="567" w:leader="none"/>
          <w:tab w:val="clear" w:pos="708" w:leader="none"/>
          <w:tab w:val="left" w:pos="716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случае непредставления Поставщиком в течение 5 (пяти) календарных дней с даты получения авансового платежа счета-фактуры, подтверждающего</w:t>
      </w:r>
      <w:r>
        <w:rPr>
          <w:sz w:val="24"/>
          <w:szCs w:val="24"/>
        </w:rPr>
        <w:t xml:space="preserve"> право Покупателя на вычет НДС, уплаченного дополнительно к такому авансу, Поставщик обязан в тот же срок возвратить Покупателю разницу между суммой, фактически перечисленной Покупателем, и суммой соответствующего авансового платежа, взятого без учета НДС.</w:t>
      </w:r>
      <w:r>
        <w:rPr>
          <w:sz w:val="24"/>
          <w:szCs w:val="24"/>
          <w:highlight w:val="white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left" w:pos="567" w:leader="none"/>
          <w:tab w:val="clear" w:pos="708" w:leader="none"/>
          <w:tab w:val="left" w:pos="716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2.11. Поставщик обязан подписать акты сверки взаимных расчетов, направленные Покупателем в 2 (двух) экземплярах, и вернуть 1 (один) экземпляр Покупателю в течение 5 (пяти) рабочих дней с даты получения экземпляров актов сверки расчетов от Покупателя.</w:t>
      </w:r>
      <w:r>
        <w:rPr>
          <w:sz w:val="24"/>
          <w:szCs w:val="24"/>
          <w:highlight w:val="white"/>
        </w:rPr>
      </w:r>
    </w:p>
    <w:p>
      <w:pPr>
        <w:pStyle w:val="815"/>
        <w:ind w:left="0" w:right="0" w:firstLine="567"/>
        <w:jc w:val="both"/>
        <w:shd w:val="clear" w:color="auto" w:fill="ffffff"/>
        <w:tabs>
          <w:tab w:val="left" w:pos="0" w:leader="none"/>
          <w:tab w:val="left" w:pos="567" w:leader="none"/>
          <w:tab w:val="clear" w:pos="708" w:leader="none"/>
          <w:tab w:val="left" w:pos="716" w:leader="none"/>
          <w:tab w:val="left" w:pos="1134" w:leader="none"/>
        </w:tabs>
        <w:rPr>
          <w:sz w:val="24"/>
          <w:szCs w:val="24"/>
          <w:highlight w:val="lightGray"/>
        </w:rPr>
      </w:pPr>
      <w:r>
        <w:rPr>
          <w:sz w:val="24"/>
          <w:highlight w:val="white"/>
        </w:rPr>
        <w:t xml:space="preserve">2.12. Покупатель вправе произвести сальдо взаимных обязательств сторон путем уменьшения сумм причитающихся Поставщику платежей по Догов</w:t>
      </w:r>
      <w:r>
        <w:rPr>
          <w:sz w:val="24"/>
          <w:highlight w:val="white"/>
        </w:rPr>
        <w:t xml:space="preserve">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том числе (включая, но не ограничива</w:t>
      </w:r>
      <w:r>
        <w:rPr>
          <w:sz w:val="24"/>
          <w:highlight w:val="white"/>
        </w:rPr>
        <w:t xml:space="preserve">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поставленного Поставщиком Товара / оказанных Поставщиком услуг</w:t>
      </w:r>
      <w:r>
        <w:rPr>
          <w:sz w:val="24"/>
        </w:rPr>
        <w:t xml:space="preserve">.</w:t>
      </w:r>
      <w:r>
        <w:rPr>
          <w:sz w:val="24"/>
          <w:szCs w:val="24"/>
          <w:highlight w:val="lightGray"/>
        </w:rPr>
      </w:r>
    </w:p>
    <w:p>
      <w:pPr>
        <w:pStyle w:val="910"/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Покупатель направляет Поставщику уведомление о проведении сальдо взаимных обязательств Сторон по Договору.</w:t>
      </w:r>
      <w:r>
        <w:rPr>
          <w:sz w:val="24"/>
          <w:szCs w:val="24"/>
          <w:highlight w:val="none"/>
        </w:rPr>
      </w:r>
    </w:p>
    <w:p>
      <w:pPr>
        <w:pStyle w:val="815"/>
        <w:ind w:left="709" w:firstLine="0"/>
        <w:jc w:val="both"/>
        <w:shd w:val="clear" w:color="auto" w:fill="ffffff"/>
        <w:tabs>
          <w:tab w:val="left" w:pos="567" w:leader="none"/>
          <w:tab w:val="clear" w:pos="708" w:leader="none"/>
          <w:tab w:val="left" w:pos="716" w:leader="none"/>
          <w:tab w:val="left" w:pos="1134" w:leader="none"/>
          <w:tab w:val="left" w:pos="1708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815"/>
        <w:numPr>
          <w:ilvl w:val="0"/>
          <w:numId w:val="1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и условия поставки Товара</w:t>
      </w:r>
      <w:r>
        <w:rPr>
          <w:b/>
          <w:bCs/>
          <w:sz w:val="24"/>
          <w:szCs w:val="24"/>
        </w:rPr>
      </w:r>
    </w:p>
    <w:p>
      <w:pPr>
        <w:pStyle w:val="815"/>
        <w:ind w:left="0" w:right="0" w:firstLine="567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 Поставка Товара осуществляется в соответствии со Спецификацией (Приложение №1 к Договору).</w:t>
      </w:r>
      <w:r>
        <w:rPr>
          <w:sz w:val="24"/>
          <w:szCs w:val="24"/>
        </w:rPr>
      </w:r>
    </w:p>
    <w:p>
      <w:pPr>
        <w:pStyle w:val="815"/>
        <w:ind w:left="0" w:right="0" w:firstLine="567"/>
        <w:jc w:val="both"/>
        <w:shd w:val="clear" w:color="auto" w:fill="ffffff"/>
        <w:widowControl/>
        <w:tabs>
          <w:tab w:val="clear" w:pos="708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3.2. Качество, комплектность, количество и ассортимент поставляемого по Договору Товара должны соответствовать Спецификации (Приложение №1 к Договору), требованиям Договора, а также Применимого права.</w:t>
      </w:r>
      <w:r>
        <w:t xml:space="preserve"> </w:t>
      </w:r>
      <w:r>
        <w:rPr>
          <w:bCs/>
          <w:sz w:val="24"/>
          <w:szCs w:val="24"/>
        </w:rPr>
        <w:t xml:space="preserve">Некачественный (некомплектный) Товар считается не поставленным.</w:t>
      </w:r>
      <w:r>
        <w:rPr>
          <w:bCs/>
          <w:sz w:val="24"/>
          <w:szCs w:val="24"/>
        </w:rPr>
      </w:r>
    </w:p>
    <w:p>
      <w:pPr>
        <w:pStyle w:val="815"/>
        <w:ind w:left="0" w:right="0" w:firstLine="567"/>
        <w:jc w:val="both"/>
        <w:shd w:val="clear" w:color="auto" w:fill="ffffff"/>
        <w:widowControl/>
        <w:tabs>
          <w:tab w:val="clear" w:pos="708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3.3. Пос</w:t>
      </w:r>
      <w:r>
        <w:rPr>
          <w:bCs/>
          <w:sz w:val="24"/>
          <w:szCs w:val="24"/>
        </w:rPr>
        <w:t xml:space="preserve">тавляемый Товар должен быть новым, не бывшим в употреблении, пригодным для использования по своему назначению. Поставщик гарантирует, что Товар принадлежит ему на законном основании, в споре, залоге или под арестом не состоит, и не обременен правами третьи</w:t>
      </w:r>
      <w:r>
        <w:rPr>
          <w:bCs/>
          <w:sz w:val="24"/>
          <w:szCs w:val="24"/>
          <w:highlight w:val="white"/>
        </w:rPr>
        <w:t xml:space="preserve">х лиц.</w:t>
      </w:r>
      <w:r>
        <w:rPr>
          <w:bCs/>
          <w:sz w:val="24"/>
          <w:szCs w:val="24"/>
          <w:highlight w:val="white"/>
        </w:rPr>
      </w:r>
    </w:p>
    <w:p>
      <w:pPr>
        <w:pStyle w:val="815"/>
        <w:ind w:left="0" w:right="0" w:firstLine="567"/>
        <w:jc w:val="both"/>
        <w:shd w:val="clear" w:color="auto" w:fill="ffffff"/>
        <w:widowControl/>
        <w:tabs>
          <w:tab w:val="clear" w:pos="708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3.4. Одновременно с передачей Товара Поставщик обязан передать Покупателю оригиналы следующих относящихся к Товару документов: </w:t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0"/>
          <w:numId w:val="5"/>
        </w:numPr>
        <w:ind w:left="1276" w:right="0" w:hanging="360"/>
        <w:jc w:val="both"/>
        <w:shd w:val="clear" w:color="auto" w:fill="ffffff"/>
        <w:widowControl/>
        <w:tabs>
          <w:tab w:val="clear" w:pos="708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сертификат/документ качества в 1 (один) экз.;</w:t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0"/>
          <w:numId w:val="5"/>
        </w:numPr>
        <w:ind w:left="1276" w:right="0" w:hanging="360"/>
        <w:jc w:val="both"/>
        <w:shd w:val="clear" w:color="auto" w:fill="ffffff"/>
        <w:widowControl/>
        <w:tabs>
          <w:tab w:val="clear" w:pos="708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технический паспорт на русском языке в 1 (один) экз.;</w:t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0"/>
          <w:numId w:val="4"/>
        </w:numPr>
        <w:ind w:left="1276" w:right="0" w:hanging="360"/>
        <w:jc w:val="both"/>
        <w:tabs>
          <w:tab w:val="clear" w:pos="708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руководство по эксплуатации на русском языке в  1 (один) экз.;</w:t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0"/>
          <w:numId w:val="4"/>
        </w:numPr>
        <w:ind w:left="1276" w:right="0" w:hanging="360"/>
        <w:jc w:val="both"/>
        <w:tabs>
          <w:tab w:val="clear" w:pos="708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упаковочный лист в 1 (один) экз.;</w:t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0"/>
          <w:numId w:val="4"/>
        </w:numPr>
        <w:ind w:left="0" w:right="0" w:firstLine="916"/>
        <w:jc w:val="both"/>
        <w:tabs>
          <w:tab w:val="clear" w:pos="708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иные документы (сертификат соответствия, сертификат безопасности, сертификат пожаробезопасности  и т.п.).</w:t>
      </w:r>
      <w:r>
        <w:rPr>
          <w:sz w:val="24"/>
          <w:szCs w:val="24"/>
          <w:highlight w:val="white"/>
        </w:rPr>
      </w:r>
    </w:p>
    <w:p>
      <w:pPr>
        <w:pStyle w:val="928"/>
        <w:ind w:left="0" w:right="0"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случае отсутствия этих документов Покупатель вправе приостановить приемку Товара до момента их предоставления Поставщиком.</w:t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15"/>
        <w:ind w:left="0" w:right="0" w:firstLine="567"/>
        <w:jc w:val="both"/>
        <w:shd w:val="clear" w:color="auto" w:fill="ffffff"/>
        <w:widowControl/>
        <w:tabs>
          <w:tab w:val="clear" w:pos="70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/>
      <w:bookmarkStart w:id="0" w:name="undefined"/>
      <w:r/>
      <w:bookmarkEnd w:id="0"/>
      <w:r>
        <w:rPr>
          <w:bCs/>
          <w:sz w:val="24"/>
          <w:szCs w:val="24"/>
        </w:rPr>
        <w:t xml:space="preserve">3.5. Товар должен отгружаться Поставщиком в таре и упаковке, обеспечивающей полную сохранность Товара от всякого рода повреждений и порчи, с учетом возможных перегрузок и длительного хранения.</w:t>
      </w:r>
      <w:bookmarkStart w:id="1" w:name="undefined_Копия_1"/>
      <w:r>
        <w:rPr>
          <w:bCs/>
          <w:sz w:val="24"/>
          <w:szCs w:val="24"/>
        </w:rPr>
        <w:t xml:space="preserve"> Поставщик обязан сообщить Покупателю условия длительного хранения поставленного Товара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</w:p>
    <w:p>
      <w:pPr>
        <w:pStyle w:val="910"/>
        <w:ind w:left="0" w:right="0" w:firstLine="567"/>
        <w:jc w:val="both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требованиям Применимого права, предъявляемым к таре и упаковке соответствующего 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Товара, а также любые другие специальные требования, помимо установленных в настоящем пункте Договора, указываются Сторонами в Спецификации (Приложение №1 к Договору). </w:t>
      </w:r>
      <w:r>
        <w:rPr>
          <w:bCs/>
          <w:sz w:val="24"/>
          <w:szCs w:val="24"/>
        </w:rPr>
      </w:r>
    </w:p>
    <w:p>
      <w:pPr>
        <w:pStyle w:val="910"/>
        <w:ind w:left="0" w:right="0" w:firstLine="567"/>
        <w:jc w:val="both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стоимость Товара. Тара и упаковка возврату не подлежат. </w:t>
      </w:r>
      <w:r>
        <w:rPr>
          <w:bCs/>
          <w:sz w:val="24"/>
          <w:szCs w:val="24"/>
        </w:rPr>
      </w:r>
    </w:p>
    <w:p>
      <w:pPr>
        <w:pStyle w:val="815"/>
        <w:ind w:left="0" w:right="0" w:firstLine="567"/>
        <w:jc w:val="both"/>
        <w:shd w:val="clear" w:color="auto" w:fill="ffffff"/>
        <w:widowControl/>
        <w:tabs>
          <w:tab w:val="clear" w:pos="708" w:leader="none"/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3.6. Погрузка, доставка Товара </w:t>
      </w:r>
      <w:r>
        <w:rPr>
          <w:bCs/>
          <w:sz w:val="24"/>
          <w:szCs w:val="24"/>
        </w:rPr>
        <w:t xml:space="preserve">осуществляется</w:t>
      </w:r>
      <w:r>
        <w:rPr>
          <w:sz w:val="24"/>
          <w:szCs w:val="24"/>
        </w:rPr>
        <w:t xml:space="preserve"> Поставщиком. Стоимость погрузки, доставки Товара включены в Цену Договора.</w:t>
      </w:r>
      <w:r>
        <w:rPr>
          <w:sz w:val="24"/>
          <w:szCs w:val="24"/>
        </w:rPr>
      </w:r>
    </w:p>
    <w:p>
      <w:pPr>
        <w:pStyle w:val="815"/>
        <w:ind w:left="0" w:right="0" w:firstLine="567"/>
        <w:jc w:val="both"/>
        <w:shd w:val="clear" w:color="auto" w:fill="ffffff"/>
        <w:widowControl/>
        <w:tabs>
          <w:tab w:val="clear" w:pos="708" w:leader="none"/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3.7. Досрочная поставка Товара допускается только при условии получения Поставщиком письменного согласия Покупателя. </w:t>
      </w:r>
      <w:r>
        <w:rPr>
          <w:sz w:val="24"/>
          <w:szCs w:val="24"/>
        </w:rPr>
      </w:r>
    </w:p>
    <w:p>
      <w:pPr>
        <w:pStyle w:val="815"/>
        <w:ind w:left="0" w:right="0" w:firstLine="567"/>
        <w:jc w:val="both"/>
        <w:shd w:val="clear" w:color="auto" w:fill="ffffff"/>
        <w:widowControl/>
        <w:tabs>
          <w:tab w:val="clear" w:pos="708" w:leader="none"/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/>
      <w:bookmarkEnd w:id="1"/>
      <w:r>
        <w:rPr>
          <w:sz w:val="24"/>
          <w:szCs w:val="24"/>
        </w:rPr>
        <w:t xml:space="preserve">3.8. Датой поставки Товара является дата подписания Сторонами Накладной ТОРГ-12/УПД при наличи</w:t>
      </w:r>
      <w:r>
        <w:rPr>
          <w:sz w:val="24"/>
          <w:szCs w:val="24"/>
          <w:highlight w:val="white"/>
        </w:rPr>
        <w:t xml:space="preserve">и Акта входного контроля.</w:t>
      </w:r>
      <w:bookmarkStart w:id="2" w:name="undefined_Копия_2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</w:p>
    <w:p>
      <w:pPr>
        <w:pStyle w:val="815"/>
        <w:ind w:left="0" w:right="0" w:firstLine="567"/>
        <w:jc w:val="both"/>
        <w:tabs>
          <w:tab w:val="clear" w:pos="708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3.9. Право собственности на Товар, а также риск его случайной гибели или случайного повреждения переходит от Поставщика к Покупателю с даты подписания Сторонами Накладной ТОРГ-12/УПД.</w:t>
      </w:r>
      <w:r>
        <w:rPr>
          <w:sz w:val="24"/>
          <w:szCs w:val="24"/>
        </w:rPr>
      </w:r>
    </w:p>
    <w:p>
      <w:pPr>
        <w:pStyle w:val="815"/>
        <w:ind w:left="0" w:right="0" w:firstLine="567"/>
        <w:jc w:val="both"/>
        <w:shd w:val="clear" w:color="auto" w:fill="ffffff"/>
        <w:widowControl/>
        <w:tabs>
          <w:tab w:val="clear" w:pos="708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3.10. В случае поставки Товара, не обусловленного настоящим Договором, либо пост</w:t>
      </w:r>
      <w:r>
        <w:rPr>
          <w:sz w:val="24"/>
          <w:szCs w:val="24"/>
        </w:rPr>
        <w:t xml:space="preserve">авки Товара по цене, превышающей согласованную Сторонами, Покупатель вправе отказаться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eastAsia="Times New Roman" w:cs="Times New Roman"/>
          <w:sz w:val="24"/>
          <w:szCs w:val="24"/>
        </w:rPr>
        <w:t xml:space="preserve">ты, связанные с хранением или отправкой (продажей) Товара, возмещает Поставщик.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15"/>
        <w:ind w:left="0" w:right="0" w:firstLine="567"/>
        <w:jc w:val="both"/>
        <w:shd w:val="clear" w:color="auto" w:fill="ffffff"/>
        <w:widowControl/>
        <w:tabs>
          <w:tab w:val="clear" w:pos="708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3.11. 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eastAsia="Times New Roman" w:cs="Times New Roman"/>
          <w:sz w:val="24"/>
          <w:szCs w:val="24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15"/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Порядок и условия приемки Товара и выполненных работ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910"/>
        <w:numPr>
          <w:ilvl w:val="1"/>
          <w:numId w:val="1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Министров СССР от 25.04.1966 № П-7 в их последних редакциях, в части не урегулированной Договором и не противоречащей действующему законодательству Российской Федерации.</w:t>
      </w:r>
      <w:r>
        <w:rPr>
          <w:sz w:val="24"/>
          <w:szCs w:val="24"/>
        </w:rPr>
      </w:r>
    </w:p>
    <w:p>
      <w:pPr>
        <w:pStyle w:val="9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</w:t>
      </w:r>
      <w:r>
        <w:rPr>
          <w:sz w:val="24"/>
          <w:szCs w:val="24"/>
        </w:rPr>
        <w:t xml:space="preserve"> принятого Товара, проверить соответствие Товара сведениям, указанным в транспортных и сопроводительных документах, а также принять Товар от транспортной организации с соблюдением законов, правил и иных правовых актов, регулирующих деятельность транспорта.</w:t>
      </w:r>
      <w:r>
        <w:rPr>
          <w:sz w:val="24"/>
          <w:szCs w:val="24"/>
        </w:rPr>
      </w:r>
    </w:p>
    <w:p>
      <w:pPr>
        <w:pStyle w:val="9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производится 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</w:p>
    <w:p>
      <w:pPr>
        <w:pStyle w:val="910"/>
        <w:numPr>
          <w:ilvl w:val="1"/>
          <w:numId w:val="1"/>
        </w:numPr>
        <w:ind w:left="0" w:firstLine="709"/>
        <w:jc w:val="both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</w:t>
      </w:r>
      <w:r>
        <w:rPr>
          <w:sz w:val="24"/>
          <w:szCs w:val="24"/>
        </w:rPr>
        <w:t xml:space="preserve">тары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</w:t>
      </w:r>
      <w:r>
        <w:rPr>
          <w:sz w:val="24"/>
          <w:szCs w:val="24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34" w:leader="none"/>
          <w:tab w:val="left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</w:t>
      </w:r>
      <w:r>
        <w:rPr>
          <w:sz w:val="24"/>
          <w:szCs w:val="24"/>
        </w:rPr>
        <w:t xml:space="preserve">алендарных дней со дня составления Сторонами двустороннего акта, если иной способ и сроки не согласованы Сторонами. После устранения недостатков, несоответствий и/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</w:p>
    <w:p>
      <w:pPr>
        <w:pStyle w:val="910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  <w:tab w:val="left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</w:t>
      </w:r>
      <w:r>
        <w:rPr>
          <w:sz w:val="24"/>
          <w:szCs w:val="24"/>
        </w:rPr>
        <w:t xml:space="preserve">ставщиком обязательств по устранению выявленных недостатков, несоответствий и/ или дефектов Товара в порядке, предусмотренном пунктом 4.4 Договора, Покупатель вправе отказаться от приемки Товара, направив соответствующее письменное уведомление Поставщику. </w:t>
      </w:r>
      <w:r>
        <w:rPr>
          <w:sz w:val="24"/>
          <w:szCs w:val="24"/>
        </w:rPr>
      </w:r>
    </w:p>
    <w:p>
      <w:pPr>
        <w:pStyle w:val="9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</w:tabs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Покупатель отказывается от переданного Поставщиком Товара, он обязан незаме</w:t>
      </w:r>
      <w:r>
        <w:rPr>
          <w:bCs/>
          <w:sz w:val="24"/>
          <w:szCs w:val="24"/>
        </w:rPr>
        <w:t xml:space="preserve">длительно письменно уведомить Поставщика о выявленных несоответствиях или недостатках Товара и обеспечить сохранность Товара (ответственное хранение). Вызов представителя Поставщика для участия в продолжении приемки Товара и составлении двустороннего акта </w:t>
      </w:r>
      <w:r>
        <w:rPr>
          <w:b w:val="0"/>
          <w:bCs w:val="0"/>
          <w:sz w:val="24"/>
          <w:szCs w:val="24"/>
        </w:rPr>
        <w:t xml:space="preserve">необязателен.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</w:r>
    </w:p>
    <w:p>
      <w:pPr>
        <w:pStyle w:val="9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</w:t>
      </w:r>
      <w:r>
        <w:rPr>
          <w:bCs/>
          <w:sz w:val="24"/>
          <w:szCs w:val="24"/>
        </w:rPr>
        <w:t xml:space="preserve">к обязан вывезти Товар, принятый Покупателем (Грузополучателем) на ответственное хранение, или распорядиться им в течение 2 (двух) суток. Если Поставщик в этот срок не распорядится Товаром, Покупатель вправе реализовать его или возвратить Поставщику. Расхо</w:t>
      </w:r>
      <w:r>
        <w:rPr>
          <w:bCs/>
          <w:sz w:val="24"/>
          <w:szCs w:val="24"/>
        </w:rPr>
        <w:t xml:space="preserve">ды, понесенные Покупателем в связи с принятием Товара на ответственное хранение, его реализацией или возвратом Поставщику, подлежат возмещению Поставщиком. При этом вырученное от реализации Товара передается Поставщику за вычетом причитающегося Покупателю.</w:t>
      </w:r>
      <w:r>
        <w:rPr>
          <w:bCs/>
          <w:sz w:val="24"/>
          <w:szCs w:val="24"/>
        </w:rPr>
      </w:r>
    </w:p>
    <w:p>
      <w:pPr>
        <w:pStyle w:val="9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не пр</w:t>
      </w:r>
      <w:r>
        <w:rPr>
          <w:bCs/>
          <w:sz w:val="24"/>
          <w:szCs w:val="24"/>
        </w:rPr>
        <w:t xml:space="preserve">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просрочке поставки Товара по Заявке.</w:t>
      </w:r>
      <w:r>
        <w:rPr>
          <w:bCs/>
          <w:sz w:val="24"/>
          <w:szCs w:val="24"/>
        </w:rPr>
      </w:r>
    </w:p>
    <w:p>
      <w:pPr>
        <w:pStyle w:val="9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Поставка Товара осуществляется по адресу Покупателя, указанному в разделе 16 Договора с 10:00 до 15:00 (по местному времени). В случае нарушения указанных условий, товар не будет приниматься, а все расходы, связанные с задержкой, берет на себя Поставщик.</w:t>
      </w:r>
      <w:r>
        <w:rPr>
          <w:bCs/>
          <w:sz w:val="24"/>
          <w:szCs w:val="24"/>
        </w:rPr>
      </w:r>
    </w:p>
    <w:p>
      <w:pPr>
        <w:pStyle w:val="9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течение 5 (пяти) рабочих дней с даты окончания работ, Поставщик предоставляет Акт сдачи-приемки выполненных работ по форме Приложения № 5 (далее по тексту – Акт) в двух экземплярах, подписанный со своей Стороны.</w:t>
      </w:r>
      <w:r>
        <w:rPr>
          <w:bCs/>
          <w:sz w:val="24"/>
          <w:szCs w:val="24"/>
        </w:rPr>
      </w:r>
    </w:p>
    <w:p>
      <w:pPr>
        <w:pStyle w:val="9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 течение 5 (пяти) рабочих дней с даты получения Акта обязан подписать Акт и возвратить один экземпляр Поставщи</w:t>
      </w:r>
      <w:r>
        <w:rPr>
          <w:bCs/>
          <w:sz w:val="24"/>
          <w:szCs w:val="24"/>
        </w:rPr>
        <w:t xml:space="preserve">ку или предоставить письменный мотивированный отказ от подписания акта. В случае получения Поставщиком от Покупателя мотивированной претензии на некачественное выполнение работ, Поставщик устраняет недостатки и замечания в согласованные сроки за свой счет.</w:t>
      </w:r>
      <w:r>
        <w:rPr>
          <w:bCs/>
          <w:sz w:val="24"/>
          <w:szCs w:val="24"/>
        </w:rPr>
      </w:r>
    </w:p>
    <w:p>
      <w:pPr>
        <w:pStyle w:val="9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Переход права собственности и риск случайной гибели на результат работ переходят на Покупателя с даты подписания Сторонами Акта без возражений.</w:t>
      </w:r>
      <w:r>
        <w:rPr>
          <w:bCs/>
          <w:sz w:val="24"/>
          <w:szCs w:val="24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0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Гарантийный срок</w:t>
      </w:r>
      <w:r>
        <w:rPr>
          <w:b/>
          <w:sz w:val="24"/>
          <w:szCs w:val="24"/>
          <w:highlight w:val="white"/>
        </w:rPr>
      </w:r>
    </w:p>
    <w:p>
      <w:pPr>
        <w:pStyle w:val="913"/>
        <w:numPr>
          <w:ilvl w:val="1"/>
          <w:numId w:val="1"/>
        </w:numPr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Гарантийный срок на Товар, поставленный по Догов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ору, составляет не менее 24 (двадцати четырех) календарных месяцев с даты подписания Покупателем (грузополучателем) Накладной ТОРГ-12/УПД, если более длительный срок не предусмотрен. Гарантийный срок может быть продлен в соответствии с условиями Договора.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0"/>
        <w:numPr>
          <w:ilvl w:val="1"/>
          <w:numId w:val="1"/>
        </w:numPr>
        <w:ind w:left="0" w:right="0" w:firstLine="709"/>
        <w:jc w:val="both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0"/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Поставщик гарантирует соответствие качества Товара требованиям Договора, технического паспорта и иных</w:t>
      </w:r>
      <w:r>
        <w:rPr>
          <w:sz w:val="24"/>
          <w:szCs w:val="24"/>
        </w:rPr>
        <w:t xml:space="preserve"> документов, относящихся к Товару, и Применимого права, возможность эксплуатации (использования) Товара в соответствии с его целевым назначением, а также несет безусловную ответственность за обнаруженные недостатки, несоответствия и/ или дефекты Товара, ес</w:t>
      </w:r>
      <w:r>
        <w:rPr>
          <w:sz w:val="24"/>
          <w:szCs w:val="24"/>
        </w:rPr>
        <w:t xml:space="preserve">ли не докажет, что такие недостатки, несоответствия и/ или дефекты явились следствием несоблюдения Покупателем требований по использованию Товара, установленных в инструкциях и иных документах, переданных Покупателю в соответствии с пунктом 3.4. Договора. </w:t>
      </w:r>
      <w:r>
        <w:rPr>
          <w:sz w:val="24"/>
          <w:szCs w:val="24"/>
        </w:rPr>
      </w:r>
    </w:p>
    <w:p>
      <w:pPr>
        <w:pStyle w:val="815"/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и/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</w:t>
      </w:r>
      <w:r>
        <w:rPr>
          <w:sz w:val="24"/>
          <w:szCs w:val="24"/>
        </w:rPr>
        <w:t xml:space="preserve">в) Товара и разумный срок на их устранение. Поставщик, в случае наличия разногласий, в течение 3 (трех) 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</w:t>
      </w:r>
      <w:r>
        <w:rPr>
          <w:sz w:val="24"/>
          <w:szCs w:val="24"/>
        </w:rPr>
        <w:t xml:space="preserve">соответствиях и/ или дефектах. Если к указанному в настоящем пункте сроку представитель Поставщика не прибудет, Акт о недостатках, несоответствиях и/ или дефектах будет составлен Покупателем в одностороннем порядке и будет признан Сторонами действительным.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в срок, указанный </w:t>
      </w:r>
      <w:bookmarkStart w:id="3" w:name="OLE_LINK6"/>
      <w:r/>
      <w:bookmarkStart w:id="4" w:name="OLE_LINK5"/>
      <w:r>
        <w:rPr>
          <w:sz w:val="24"/>
          <w:szCs w:val="24"/>
        </w:rPr>
        <w:t xml:space="preserve">Покупателем в соответствии с пунктом 5.4. Договора</w:t>
      </w:r>
      <w:bookmarkEnd w:id="3"/>
      <w:r/>
      <w:bookmarkEnd w:id="4"/>
      <w:r>
        <w:rPr>
          <w:sz w:val="24"/>
          <w:szCs w:val="24"/>
        </w:rPr>
        <w:t xml:space="preserve">, путем замены или ремонта Товара. </w:t>
      </w:r>
      <w:r>
        <w:rPr>
          <w:sz w:val="24"/>
          <w:szCs w:val="24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</w:t>
      </w:r>
      <w:r>
        <w:rPr>
          <w:sz w:val="24"/>
          <w:szCs w:val="24"/>
        </w:rPr>
        <w:t xml:space="preserve">о по письменному согласованию с Покупателем. Поставщик вправе по согласованию с Покупателем вместо замены Товара возвратить Покупателю его стоимость. Вывоз Товара для целей устранения недостатков (дефектов) осуществляется силами Поставщика и за его счет.  </w:t>
      </w:r>
      <w:r>
        <w:rPr>
          <w:sz w:val="24"/>
          <w:szCs w:val="24"/>
        </w:rPr>
      </w:r>
    </w:p>
    <w:p>
      <w:pPr>
        <w:pStyle w:val="910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Поставщик не устранит недостатки (дефекты) Товара в установленный Покупателем срок, Покупатель вправе устранить их собственными силами или силами третьих лиц, с отнесением</w:t>
      </w:r>
      <w:r>
        <w:rPr>
          <w:sz w:val="24"/>
          <w:szCs w:val="24"/>
        </w:rPr>
        <w:t xml:space="preserve"> на Поставщика соответствующих расходов. Поставщик обязан возместить расходы Покупателя на устранение недостатков, несоответствий и/ или дефектов Товара в течение 10 (десяти) рабочих дней с даты получения соответствующего письменного требования Покупателя.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Товар увеличивается на тот период времени, в течение которого Покупатель не мог эксплуатировать (использовать) Товар вследствие его недостатков (дефектов). Гарантийный</w:t>
      </w:r>
      <w:r>
        <w:rPr>
          <w:sz w:val="24"/>
          <w:szCs w:val="24"/>
        </w:rPr>
        <w:t xml:space="preserve"> срок на замененную или отремонтированную единицу Товара устанавливается продолжительностью, указанной в пункте 5.1 Договора, и начинает исчисляться заново с даты приемки Покупателем замененной единицы Товара или работ по устранению недостатков (дефектов).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недостатков, несоответствий и / или дефектов Товара или возврат его стоимости, в том числе в рамках срока, установленного в соответствии с пунктом 5.4. Договора, не освобождает </w:t>
      </w:r>
      <w:r>
        <w:rPr>
          <w:sz w:val="24"/>
          <w:szCs w:val="24"/>
          <w:shd w:val="clear" w:color="auto" w:fill="ffffff"/>
        </w:rPr>
        <w:t xml:space="preserve">Поставщика от обязанности возмещения убытков, причиненных Покупателю вследствие наличия таких недостатков (дефектов). </w:t>
      </w:r>
      <w:r>
        <w:rPr>
          <w:sz w:val="24"/>
          <w:szCs w:val="24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sz w:val="24"/>
          <w:szCs w:val="24"/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</w:r>
      <w:r>
        <w:rPr>
          <w:sz w:val="24"/>
          <w:szCs w:val="24"/>
          <w:highlight w:val="none"/>
          <w:shd w:val="clear" w:color="auto" w:fill="ffffff"/>
        </w:rPr>
      </w:r>
    </w:p>
    <w:p>
      <w:pPr>
        <w:pStyle w:val="815"/>
        <w:ind w:firstLine="709"/>
        <w:jc w:val="center"/>
        <w:shd w:val="clear" w:color="auto" w:fill="ffffff"/>
        <w:tabs>
          <w:tab w:val="clear" w:pos="708" w:leader="none"/>
          <w:tab w:val="left" w:pos="1190" w:leader="none"/>
        </w:tabs>
        <w:rPr>
          <w:highlight w:val="none"/>
          <w:shd w:val="clear" w:color="auto" w:fill="ffffff"/>
        </w:rPr>
      </w:pPr>
      <w:r>
        <w:rPr>
          <w:b/>
          <w:bCs/>
          <w:sz w:val="24"/>
          <w:szCs w:val="24"/>
          <w:shd w:val="clear" w:color="auto" w:fill="ffffff"/>
        </w:rPr>
        <w:tab/>
        <w:t xml:space="preserve">6.</w:t>
        <w:tab/>
        <w:t xml:space="preserve">Порядок оказания шефмонтажных и шефналадочных услуг</w:t>
      </w:r>
      <w:r>
        <w:rPr>
          <w:highlight w:val="none"/>
          <w:shd w:val="clear" w:color="auto" w:fill="ffffff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6.1. Поставщик обязуется выполнить шеф-монтаж и шеф-наладку Товара, указанного в Спецификации (Приложение № 1 к договору). </w:t>
      </w:r>
      <w:r>
        <w:rPr>
          <w:highlight w:val="none"/>
          <w:shd w:val="clear" w:color="auto" w:fill="ffffff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Покупатель, по готовности к шеф-монтажу и шеф-наладке, письменно уведомляет Поставщика не менее чем за 14 (четырнадцать) календарных дней о фактической дате начала и месте оказания услуг по шеф-монтажу и шеф-наладке. </w:t>
      </w:r>
      <w:r>
        <w:rPr>
          <w:highlight w:val="none"/>
          <w:shd w:val="clear" w:color="auto" w:fill="ffffff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</w:pPr>
      <w:r>
        <w:rPr>
          <w:sz w:val="24"/>
          <w:szCs w:val="24"/>
        </w:rPr>
        <w:t xml:space="preserve">Уведомление направляется на электронный адрес Поставщика ______. Поставщик обязан в течение 24-х часов направить в подтверждение получения уведомления ответ на электронный адрес Покупателя </w:t>
      </w:r>
      <w:r>
        <w:rPr>
          <w:spacing w:val="-2"/>
          <w:sz w:val="24"/>
          <w:szCs w:val="24"/>
        </w:rPr>
        <w:t xml:space="preserve">______@dgk.ru</w:t>
      </w:r>
      <w:r>
        <w:rPr>
          <w:sz w:val="24"/>
          <w:szCs w:val="24"/>
        </w:rPr>
        <w:t xml:space="preserve">.</w:t>
      </w:r>
      <w:r/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</w:rPr>
        <w:t xml:space="preserve">Уведомление о прочтении Покупателем полученного сообщения электронной почты является достаточным подтверждением о получении уведомления от Покупателя о готовности к оказанию услуг.</w:t>
      </w:r>
      <w:r>
        <w:rPr>
          <w:highlight w:val="none"/>
          <w:shd w:val="clear" w:color="auto" w:fill="ffffff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6.2. Поставщик, являясь специалистом в области оказания шефмонтажных и шефналадочных услуг, гарантирует, что предусмотренного в Договоре объема услуг достаточно для ввода Товара в эксплуатацию. При необходимости Поставщик имеет право по своему усм</w:t>
      </w:r>
      <w:r>
        <w:rPr>
          <w:sz w:val="24"/>
          <w:szCs w:val="24"/>
          <w:shd w:val="clear" w:color="auto" w:fill="ffffff"/>
        </w:rPr>
        <w:t xml:space="preserve">отрению за свой счет в одностороннем порядке изменить предусмотренное Договором количество и категорию специалистов, направляемых для оказания шефмонтажных и шефналадочных услуг, без ущерба выполнению договорных обязательств и без увеличения Цены Договора.</w:t>
      </w:r>
      <w:r>
        <w:rPr>
          <w:highlight w:val="none"/>
          <w:shd w:val="clear" w:color="auto" w:fill="ffffff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6.3. Продолжительность оказания шефмонтажных и шефналадочных услуг - 30 (тридцать) календарных дней с даты поставки товара.</w:t>
      </w:r>
      <w:r>
        <w:rPr>
          <w:highlight w:val="none"/>
          <w:shd w:val="clear" w:color="auto" w:fill="ffffff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</w:pPr>
      <w:r>
        <w:rPr>
          <w:sz w:val="24"/>
          <w:szCs w:val="24"/>
        </w:rPr>
        <w:t xml:space="preserve">6.4. Для оказания шефмонтажных и шефналадочных услуг Поставщик командирует специалистов – шеф-инженеров.</w:t>
      </w:r>
      <w:r/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</w:pPr>
      <w:r>
        <w:rPr>
          <w:sz w:val="24"/>
          <w:szCs w:val="24"/>
        </w:rPr>
        <w:t xml:space="preserve">6.5. Поставщик сообщает Покупателю ФИО командируемых специалистов и их специальности. Окончательная дата приезда специалистов сообщается Покупателю за 5 (пять) дней до их приезда. </w:t>
      </w:r>
      <w:r/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</w:pPr>
      <w:r>
        <w:rPr>
          <w:sz w:val="24"/>
          <w:szCs w:val="24"/>
        </w:rPr>
        <w:t xml:space="preserve">6.6. Поставщик самостоятельно организует и оплачивает проезд до места оказания шефмонтажных и шефналадочных услуг и обратно, а также проживание направляемых для оказания шефмонтажных и шефналадочных услуг специалистов.</w:t>
      </w:r>
      <w:r/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</w:pPr>
      <w:r>
        <w:rPr>
          <w:sz w:val="24"/>
          <w:szCs w:val="24"/>
        </w:rPr>
        <w:t xml:space="preserve">6.7. Поставщик несет ответственность и обеспечивает:</w:t>
      </w:r>
      <w:r/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</w:pPr>
      <w:r>
        <w:rPr>
          <w:sz w:val="24"/>
          <w:szCs w:val="24"/>
        </w:rPr>
        <w:t xml:space="preserve">- Прав</w:t>
      </w:r>
      <w:r>
        <w:rPr>
          <w:sz w:val="24"/>
          <w:szCs w:val="24"/>
        </w:rPr>
        <w:t xml:space="preserve">ильность и полноту данных, выдаваемых Покупателю, содержащихся в Спецификации, за своевременность решения технических вопросов. Указания Специалистов Поставщика, касающиеся оказания шефмонтажных и шефналадочных услуг, обязательны для персонала Покупателя. </w:t>
      </w:r>
      <w:r/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</w:pPr>
      <w:r>
        <w:rPr>
          <w:sz w:val="24"/>
          <w:szCs w:val="24"/>
        </w:rPr>
        <w:t xml:space="preserve">- Выполнение специалистами Поставщика требований и правил промышленной санитарии, охраны труда, те</w:t>
      </w:r>
      <w:r>
        <w:rPr>
          <w:sz w:val="24"/>
          <w:szCs w:val="24"/>
          <w:shd w:val="clear" w:color="auto" w:fill="ffffff"/>
        </w:rPr>
        <w:t xml:space="preserve">хники безопасности, производственной, пожарной и экологической безопасности. Специалисты должны иметь удостоверение о допуске по электробезопасности не ниже III группы.</w:t>
      </w:r>
      <w:r/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Выполнение специалистами Поставщика правил внутреннего труд</w:t>
      </w:r>
      <w:r>
        <w:rPr>
          <w:sz w:val="24"/>
          <w:szCs w:val="24"/>
          <w:shd w:val="clear" w:color="auto" w:fill="ffffff"/>
        </w:rPr>
        <w:t xml:space="preserve">ового распорядка, действующего в месте оказания шефмонтажных и шефналадочных услуг. Продолжительность рабочей недели не должна превышать 40 (сорок) часов в неделю. Работа в выходные и праздничные дни в соответствии с Трудовым Кодексом Российской Федерации.</w:t>
      </w:r>
      <w:r>
        <w:rPr>
          <w:highlight w:val="none"/>
          <w:shd w:val="clear" w:color="auto" w:fill="ffffff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Оформление заводских формуляров монтажных работ.</w:t>
      </w:r>
      <w:r>
        <w:rPr>
          <w:highlight w:val="none"/>
          <w:shd w:val="clear" w:color="auto" w:fill="ffffff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Внесение необходимых предложений Покупателю по корректировке сроков и хода монтажных работ. </w:t>
      </w:r>
      <w:r>
        <w:rPr>
          <w:highlight w:val="none"/>
          <w:shd w:val="clear" w:color="auto" w:fill="ffffff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Консультационные услуги и представление рекомендаций Покупателю в части монтажных испытаний и эксплуатации поставленной Поставщиком продукции. </w:t>
      </w:r>
      <w:r>
        <w:rPr>
          <w:highlight w:val="none"/>
          <w:shd w:val="clear" w:color="auto" w:fill="ffffff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Участие в приемке по качеству поставляемого Поставщиком продукции в месте оказания шефмонтажных и шефналадочных услуг и составление соответствующих актов. </w:t>
      </w:r>
      <w:r>
        <w:rPr>
          <w:highlight w:val="none"/>
          <w:shd w:val="clear" w:color="auto" w:fill="ffffff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В письменной форме уведомляет руководство и ответственных лиц </w:t>
      </w:r>
      <w:r>
        <w:rPr>
          <w:sz w:val="24"/>
          <w:szCs w:val="24"/>
          <w:shd w:val="clear" w:color="auto" w:fill="ffffff"/>
        </w:rPr>
        <w:t xml:space="preserve">Покупателя обо всех случаях отклонения действий специалистов Покупателя от проекта и нормативно-технической документации, а также невыполнения рекомендаций шефперсонала подрядными строительно-монтажными, наладочными организациями или персоналом Покупателя.</w:t>
      </w:r>
      <w:r>
        <w:rPr>
          <w:highlight w:val="none"/>
          <w:shd w:val="clear" w:color="auto" w:fill="ffffff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В случае болез</w:t>
      </w:r>
      <w:r>
        <w:rPr>
          <w:sz w:val="24"/>
          <w:szCs w:val="24"/>
          <w:shd w:val="clear" w:color="auto" w:fill="ffffff"/>
        </w:rPr>
        <w:t xml:space="preserve">ни специалистов Поставщика в период оказания шефмонтажных и шефналадочных услуг, если это влияет на результаты оказания шефмонтажных и шефналадочных услуг по Договору, Поставщик обязан заменить больного специалиста другим специалистом той же квалификации. </w:t>
      </w:r>
      <w:r>
        <w:rPr>
          <w:highlight w:val="none"/>
          <w:shd w:val="clear" w:color="auto" w:fill="ffffff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</w:pPr>
      <w:r>
        <w:rPr>
          <w:sz w:val="24"/>
          <w:szCs w:val="24"/>
          <w:shd w:val="clear" w:color="auto" w:fill="ffffff"/>
        </w:rPr>
        <w:t xml:space="preserve">- При невыполнении технических требований Поставщика, Поставщик имеет право потребовать от Покупателя прекращения работ и (или), при необходимости, выполнение</w:t>
      </w:r>
      <w:r>
        <w:rPr>
          <w:sz w:val="24"/>
          <w:szCs w:val="24"/>
        </w:rPr>
        <w:t xml:space="preserve"> ревизии продукции.</w:t>
      </w:r>
      <w:r/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</w:pPr>
      <w:r>
        <w:rPr>
          <w:sz w:val="24"/>
          <w:szCs w:val="24"/>
        </w:rPr>
        <w:t xml:space="preserve">6.8. Покупатель несет ответственность и обеспечивает:</w:t>
      </w:r>
      <w:r/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</w:pPr>
      <w:r>
        <w:rPr>
          <w:sz w:val="24"/>
          <w:szCs w:val="24"/>
        </w:rPr>
        <w:t xml:space="preserve">- Готовность продукц</w:t>
      </w:r>
      <w:r>
        <w:rPr>
          <w:sz w:val="24"/>
          <w:szCs w:val="24"/>
        </w:rPr>
        <w:t xml:space="preserve">ии для выполнения обязательств Поставщика по Договору и полный доступ шефперсонала Поставщика на любой участок в месте оказания шефмонтажных и шефналадочных услуг Покупателя, если это необходимо Поставщику для выполнения им своих обязательств по Договору. </w:t>
      </w:r>
      <w:r/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</w:pPr>
      <w:r>
        <w:rPr>
          <w:sz w:val="24"/>
          <w:szCs w:val="24"/>
        </w:rPr>
        <w:t xml:space="preserve">- Выполнение условий и требований технической документации Поставщика, поставляемой вместе с продукцией, по хранению, монтажу, наладке, испытаниям и эксплуатации поставляемой Поставщиком продукции. </w:t>
      </w:r>
      <w:r/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</w:pPr>
      <w:r>
        <w:rPr>
          <w:sz w:val="24"/>
          <w:szCs w:val="24"/>
        </w:rPr>
        <w:t xml:space="preserve">- Создание условий, гарантирующих безопасность в месте оказания шефмонтажных и шефналадочных услуг в соответствии с действующими правилами и СНиП, а также противопожарную безопасность. </w:t>
      </w:r>
      <w:r/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</w:pPr>
      <w:r>
        <w:rPr>
          <w:sz w:val="24"/>
          <w:szCs w:val="24"/>
        </w:rPr>
        <w:t xml:space="preserve">- Правильность обслуживания продукции персоналом Покупателя в процессе его монтажа, наладки, комплексного опробования и эксплуатации, согласно переданной ему Поставщиком технической документации.</w:t>
      </w:r>
      <w:r/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</w:pPr>
      <w:r>
        <w:rPr>
          <w:sz w:val="24"/>
          <w:szCs w:val="24"/>
        </w:rPr>
        <w:t xml:space="preserve">6.9. Поставщик не несет ответственности за работы, произведенные Покупателем без согласования с Поставщиком и его присутствия. </w:t>
      </w:r>
      <w:r/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</w:pPr>
      <w:r>
        <w:rPr>
          <w:sz w:val="24"/>
          <w:szCs w:val="24"/>
        </w:rPr>
        <w:t xml:space="preserve">6.10. Для оперативного решения и координации </w:t>
      </w:r>
      <w:r>
        <w:rPr>
          <w:sz w:val="24"/>
          <w:szCs w:val="24"/>
        </w:rPr>
        <w:t xml:space="preserve">всех, возникающих в ходе оказания шефмонтажных и шефналадочных услуг организационно-технических вопросов, Покупатель и Поставщик назначают ответственных представителей, уполномоченных подписывать необходимую документацию в пределах полномочий по Договору. </w:t>
      </w:r>
      <w:r/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</w:pPr>
      <w:r>
        <w:rPr>
          <w:sz w:val="24"/>
          <w:szCs w:val="24"/>
        </w:rPr>
        <w:t xml:space="preserve">6.11. В случае возникновения необходимости</w:t>
      </w:r>
      <w:r>
        <w:rPr>
          <w:sz w:val="24"/>
          <w:szCs w:val="24"/>
        </w:rPr>
        <w:t xml:space="preserve"> увеличения срока оказания шефмонтажных и шефналадочных услуг и их переноса, размер и порядок расчетов за дополнительные шефмонтажные и шефналадочных услуги будет производиться в соответствии с условиями дополнительного соглашения, подписанного Сторонами. </w:t>
      </w:r>
      <w:r/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6.12. В</w:t>
      </w:r>
      <w:r>
        <w:rPr>
          <w:sz w:val="24"/>
          <w:szCs w:val="24"/>
        </w:rPr>
        <w:t xml:space="preserve">се подрядные работы по монтажу, наладке, испытаниям и вводу оборудования в эксплуатацию, не входящие в предмет настоящего Договора, производятся силами и средствами Покупателя за его счет, согласно требованиям документации Поставщика (Завода изготовителя).</w:t>
      </w:r>
      <w:r>
        <w:rPr>
          <w:sz w:val="24"/>
          <w:szCs w:val="24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6.13. После завершения работ по шеф-монтажу и шеф-наладке оборудования Поставщик обязуется в течение 5 (пяти) рабочих дней предоставить Покупателю следующие документы:</w:t>
      </w:r>
      <w:r>
        <w:rPr>
          <w:sz w:val="24"/>
          <w:szCs w:val="24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Акт о выполненных работах (Приложение №5);</w:t>
      </w:r>
      <w:r>
        <w:rPr>
          <w:sz w:val="24"/>
          <w:szCs w:val="24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Протоколы испытаний, содержащие результаты всех проведенных испытаний и проверок, подтверждающих соответствие оборудования установленным техническим требованиям и стандартам;</w:t>
      </w:r>
      <w:r>
        <w:rPr>
          <w:sz w:val="24"/>
          <w:szCs w:val="24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Техническую документацию;</w:t>
      </w:r>
      <w:r>
        <w:rPr>
          <w:sz w:val="24"/>
          <w:szCs w:val="24"/>
        </w:rPr>
      </w:r>
    </w:p>
    <w:p>
      <w:pPr>
        <w:pStyle w:val="815"/>
        <w:ind w:firstLine="709"/>
        <w:jc w:val="both"/>
        <w:shd w:val="clear" w:color="auto" w:fill="ffffff"/>
        <w:tabs>
          <w:tab w:val="clear" w:pos="708" w:leader="none"/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Документы, касающиеся сервисных обязательств, включая гарантии, обязательства по техническому обслуживанию и ремонту установленного оборудования.</w:t>
      </w:r>
      <w:r>
        <w:rPr>
          <w:sz w:val="24"/>
          <w:szCs w:val="24"/>
        </w:rPr>
      </w:r>
    </w:p>
    <w:p>
      <w:pPr>
        <w:pStyle w:val="815"/>
        <w:ind w:left="4956" w:firstLine="708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815"/>
        <w:ind w:left="4956" w:right="0" w:hanging="4956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7. Ответственность Сторон</w:t>
      </w:r>
      <w:r>
        <w:rPr>
          <w:b/>
          <w:bCs/>
          <w:sz w:val="24"/>
          <w:szCs w:val="24"/>
          <w:highlight w:val="white"/>
        </w:rPr>
      </w:r>
    </w:p>
    <w:p>
      <w:pPr>
        <w:pStyle w:val="815"/>
        <w:ind w:left="0" w:right="0" w:firstLine="709"/>
        <w:jc w:val="both"/>
        <w:tabs>
          <w:tab w:val="left" w:pos="0" w:leader="none"/>
          <w:tab w:val="clear" w:pos="70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7.1. Неустойка и / или иные штрафные санкции за неисполнение (ненадлежащее исполнение) Покупателем обязательств по внесению предварительной оплаты (аванса) не устанавливаются.</w:t>
      </w:r>
      <w:r>
        <w:rPr>
          <w:sz w:val="24"/>
          <w:szCs w:val="24"/>
          <w:highlight w:val="white"/>
        </w:rPr>
      </w:r>
    </w:p>
    <w:p>
      <w:pPr>
        <w:pStyle w:val="815"/>
        <w:ind w:left="0" w:right="0" w:firstLine="709"/>
        <w:jc w:val="both"/>
        <w:tabs>
          <w:tab w:val="left" w:pos="0" w:leader="none"/>
          <w:tab w:val="clear" w:pos="708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7.2. В случае нарушения Поставщиком обязательств по поставке Товара (нарушение срока поставки, недопоставка), Покупатель вправе потребовать уплаты Поставщиком неустойки в размере 0,1 (ноль целых и одна десятая) процента от стоимости Товара за каждый ден</w:t>
      </w:r>
      <w:r>
        <w:rPr>
          <w:sz w:val="24"/>
          <w:szCs w:val="24"/>
          <w:shd w:val="clear" w:color="auto" w:fill="ffffff"/>
        </w:rPr>
        <w:t xml:space="preserve">ь просрочки.</w:t>
      </w:r>
      <w:r>
        <w:rPr>
          <w:highlight w:val="white"/>
        </w:rPr>
      </w:r>
    </w:p>
    <w:p>
      <w:pPr>
        <w:pStyle w:val="815"/>
        <w:ind w:left="0" w:right="0" w:firstLine="709"/>
        <w:jc w:val="both"/>
        <w:tabs>
          <w:tab w:val="left" w:pos="0" w:leader="none"/>
          <w:tab w:val="clear" w:pos="708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7.3. В случае несвоевременного устранения Поставщиком выявленных недостатков товара, Покупатель вправе потребовать уплаты Поставщиком неустойки в размере 0,1 (ноль целых и одна десятая) процента от стоимости Товара за каждый день просрочки.</w:t>
      </w:r>
      <w:r>
        <w:rPr>
          <w:highlight w:val="none"/>
          <w:shd w:val="clear" w:color="auto" w:fill="ffffff"/>
        </w:rPr>
      </w:r>
    </w:p>
    <w:p>
      <w:pPr>
        <w:pStyle w:val="815"/>
        <w:ind w:left="0" w:right="0" w:firstLine="709"/>
        <w:jc w:val="both"/>
        <w:tabs>
          <w:tab w:val="left" w:pos="0" w:leader="none"/>
          <w:tab w:val="clear" w:pos="708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7.4. В случае нарушения Поставщиком обязательств по оказанию шефмонтажных и шефналадочных ус</w:t>
      </w:r>
      <w:r>
        <w:rPr>
          <w:sz w:val="24"/>
          <w:szCs w:val="24"/>
          <w:shd w:val="clear" w:color="auto" w:fill="ffffff"/>
        </w:rPr>
        <w:t xml:space="preserve">луг, а также в случае несвоевременного устранения выявленных недостатков результатов оказанных услуг, Покупатель вправе потребовать уплаты Поставщиком неустойки в размере 0,1 (ноль целых и одна десятая) процента от стоимости услуг за каждый день просрочки.</w:t>
      </w:r>
      <w:r>
        <w:rPr>
          <w:highlight w:val="none"/>
          <w:shd w:val="clear" w:color="auto" w:fill="ffffff"/>
        </w:rPr>
      </w:r>
    </w:p>
    <w:p>
      <w:pPr>
        <w:pStyle w:val="815"/>
        <w:ind w:left="0" w:right="0" w:firstLine="709"/>
        <w:jc w:val="both"/>
        <w:tabs>
          <w:tab w:val="left" w:pos="0" w:leader="none"/>
          <w:tab w:val="clear" w:pos="708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7.5. На сумму подлежащего возврату аванса начисляется неустойка в размере 0,1 (ноль целых и одна десятая) процента с даты, установленной для возврата аванса.</w:t>
      </w:r>
      <w:r>
        <w:rPr>
          <w:highlight w:val="none"/>
          <w:shd w:val="clear" w:color="auto" w:fill="ffffff"/>
        </w:rPr>
      </w:r>
    </w:p>
    <w:p>
      <w:pPr>
        <w:pStyle w:val="815"/>
        <w:ind w:left="0" w:right="0" w:firstLine="709"/>
        <w:jc w:val="both"/>
        <w:tabs>
          <w:tab w:val="left" w:pos="0" w:leader="none"/>
          <w:tab w:val="clear" w:pos="708" w:leader="none"/>
        </w:tabs>
        <w:rPr>
          <w:highlight w:val="white"/>
        </w:rPr>
      </w:pPr>
      <w:r>
        <w:rPr>
          <w:sz w:val="24"/>
          <w:szCs w:val="24"/>
          <w:shd w:val="clear" w:color="auto" w:fill="ffffff"/>
        </w:rPr>
        <w:t xml:space="preserve">7.6. В случае нарушения Поставщиком обязательств по поставке Товара, оказанию шефмонтажных и шефналадочных услуг на срок свыш</w:t>
      </w:r>
      <w:r>
        <w:rPr>
          <w:sz w:val="24"/>
          <w:szCs w:val="24"/>
          <w:highlight w:val="white"/>
        </w:rPr>
        <w:t xml:space="preserve">е 60 (шестидесяти) календарных дней, Покупатель имеет право расторгнуть Договор в одностороннем внесудебном порядке, а также потре</w:t>
      </w:r>
      <w:r>
        <w:rPr>
          <w:sz w:val="24"/>
          <w:szCs w:val="24"/>
          <w:shd w:val="clear" w:color="auto" w:fill="ffffff"/>
        </w:rPr>
        <w:t xml:space="preserve">бовать возмещения убытков. </w:t>
      </w:r>
      <w:r>
        <w:rPr>
          <w:highlight w:val="white"/>
        </w:rPr>
      </w:r>
    </w:p>
    <w:p>
      <w:pPr>
        <w:pStyle w:val="815"/>
        <w:ind w:left="0" w:right="0" w:firstLine="709"/>
        <w:jc w:val="both"/>
        <w:tabs>
          <w:tab w:val="left" w:pos="0" w:leader="none"/>
          <w:tab w:val="clear" w:pos="708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7.7. В случае нарушения Покупателем сроков опл</w:t>
      </w:r>
      <w:r>
        <w:rPr>
          <w:sz w:val="24"/>
          <w:szCs w:val="24"/>
          <w:shd w:val="clear" w:color="auto" w:fill="ffffff"/>
        </w:rPr>
        <w:t xml:space="preserve">аты поставленного Товара, оказанных шефмонтажных и шефналадочных услуг, Поставщик вправе потребовать уплаты Покупателем исключительной неустойки в размере 0,1 (ноль целых и одна десятая) процента от несвоевременно оплаченной суммы за каждый день просрочки.</w:t>
      </w:r>
      <w:r>
        <w:rPr>
          <w:highlight w:val="none"/>
          <w:shd w:val="clear" w:color="auto" w:fill="ffffff"/>
        </w:rPr>
      </w:r>
    </w:p>
    <w:p>
      <w:pPr>
        <w:pStyle w:val="815"/>
        <w:ind w:left="0" w:right="0" w:firstLine="709"/>
        <w:jc w:val="both"/>
        <w:tabs>
          <w:tab w:val="left" w:pos="0" w:leader="none"/>
          <w:tab w:val="clear" w:pos="708" w:leader="none"/>
        </w:tabs>
        <w:rPr>
          <w:highlight w:val="none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7.8. Если в результате составления и выставления Поставщиком счета-фактуры/УПД с нарушением порядка и тр</w:t>
      </w:r>
      <w:r>
        <w:rPr>
          <w:sz w:val="24"/>
          <w:szCs w:val="24"/>
          <w:shd w:val="clear" w:color="auto" w:fill="ffffff"/>
        </w:rPr>
        <w:t xml:space="preserve">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 сумм НДС, пеней и налоговых санкций, Поставщик обязан компенсировать Покупателю сумму таких расходов. </w:t>
      </w:r>
      <w:r>
        <w:rPr>
          <w:highlight w:val="none"/>
          <w:shd w:val="clear" w:color="auto" w:fill="ffffff"/>
        </w:rPr>
      </w:r>
    </w:p>
    <w:p>
      <w:pPr>
        <w:pStyle w:val="815"/>
        <w:ind w:left="0" w:right="0" w:firstLine="709"/>
        <w:jc w:val="both"/>
        <w:tabs>
          <w:tab w:val="left" w:pos="0" w:leader="none"/>
          <w:tab w:val="clear" w:pos="708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</w:t>
      </w:r>
      <w:r>
        <w:rPr>
          <w:highlight w:val="white"/>
        </w:rPr>
      </w:r>
    </w:p>
    <w:p>
      <w:pPr>
        <w:pStyle w:val="815"/>
        <w:ind w:left="0" w:right="0" w:firstLine="709"/>
        <w:jc w:val="both"/>
        <w:tabs>
          <w:tab w:val="left" w:pos="0" w:leader="none"/>
          <w:tab w:val="clear" w:pos="708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Сумма расходов компенсируется Поставщиком в течение 10 (десяти) рабочих дней с даты получения соответствующего письменного требования Покупателя. </w:t>
      </w:r>
      <w:r>
        <w:rPr>
          <w:highlight w:val="white"/>
        </w:rPr>
      </w:r>
    </w:p>
    <w:p>
      <w:pPr>
        <w:pStyle w:val="815"/>
        <w:ind w:left="0" w:right="0" w:firstLine="709"/>
        <w:jc w:val="both"/>
        <w:tabs>
          <w:tab w:val="left" w:pos="0" w:leader="none"/>
          <w:tab w:val="clear" w:pos="708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В случае нарушения Поставщиком сроков, предусмотренных пунктом 2.10 настоящего Договора, Покупатель также имеет право требовать от Поставщика уплаты штрафа в размере 50 000 (пятидесяти тысяч) рублей за каждый случай нарушения.</w:t>
      </w:r>
      <w:r>
        <w:rPr>
          <w:highlight w:val="white"/>
        </w:rPr>
      </w:r>
    </w:p>
    <w:p>
      <w:pPr>
        <w:pStyle w:val="815"/>
        <w:ind w:left="0" w:right="0" w:firstLine="709"/>
        <w:jc w:val="both"/>
        <w:tabs>
          <w:tab w:val="left" w:pos="0" w:leader="none"/>
          <w:tab w:val="clear" w:pos="70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7.9. В случае поступления Товара несоответствующей сведениям о стране происхождения Товара, согласованной в договоре, Покупатель вправе взыскать с Поставщика штраф в размере 10% от стоимости поставленного Товара несоответствующей сведениям.</w:t>
      </w:r>
      <w:r>
        <w:rPr>
          <w:sz w:val="24"/>
          <w:szCs w:val="24"/>
          <w:highlight w:val="white"/>
        </w:rPr>
      </w:r>
    </w:p>
    <w:p>
      <w:pPr>
        <w:pStyle w:val="815"/>
        <w:ind w:left="0" w:right="0" w:firstLine="709"/>
        <w:jc w:val="both"/>
        <w:tabs>
          <w:tab w:val="left" w:pos="0" w:leader="none"/>
          <w:tab w:val="clear" w:pos="70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7.10. За неисполнение или ненадлежащее исполнение обязательств по Договору Стороны несут ответственность в соответствии с законодательством Российской Ф</w:t>
      </w:r>
      <w:r>
        <w:rPr>
          <w:sz w:val="24"/>
          <w:szCs w:val="24"/>
          <w:highlight w:val="white"/>
        </w:rP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  <w:highlight w:val="white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7.11. 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  <w:highlight w:val="white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7.12. Уплата неустойки и/ или штрафа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  <w:highlight w:val="white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7.13. Учитывая, что для Покупателя надлежащее и своевременное выполнение Поставщико</w:t>
      </w:r>
      <w:r>
        <w:rPr>
          <w:bCs/>
          <w:sz w:val="24"/>
          <w:szCs w:val="24"/>
          <w:highlight w:val="white"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Поставщиком соответствующих обязательств по Договору.</w:t>
      </w:r>
      <w:r>
        <w:rPr>
          <w:bCs/>
          <w:sz w:val="24"/>
          <w:szCs w:val="24"/>
          <w:highlight w:val="white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7.14. Определение суммы неустойки, подлежащей уплате, возможно в досудебном п</w:t>
      </w:r>
      <w:r>
        <w:rPr>
          <w:bCs/>
          <w:sz w:val="24"/>
          <w:szCs w:val="24"/>
          <w:highlight w:val="white"/>
        </w:rPr>
        <w:t xml:space="preserve">орядке при признании суммы неустойки Стороной, нарушившей обязательства </w:t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  <w:br/>
        <w:t xml:space="preserve">в письменном требовании,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  <w:highlight w:val="white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7.15. За непредставление либо несвоевременное предоставление / переоформление Поставщиком банковской гарантии, предусмотренных Договором, в </w:t>
      </w:r>
      <w:r>
        <w:rPr>
          <w:b w:val="0"/>
          <w:bCs w:val="0"/>
          <w:sz w:val="24"/>
          <w:szCs w:val="24"/>
          <w:highlight w:val="white"/>
        </w:rPr>
        <w:t xml:space="preserve">соответствии с Приложениями № 2, 3 к настоящему Договору, Покупатель  вп</w:t>
      </w:r>
      <w:r>
        <w:rPr>
          <w:sz w:val="24"/>
          <w:szCs w:val="24"/>
          <w:highlight w:val="white"/>
        </w:rPr>
        <w:t xml:space="preserve">раве потребовать уплаты Поставщиком неустойки в размере 0,03 (ноль целых и три сотых) процента от цены Договора за каждый день просрочки. </w:t>
      </w:r>
      <w:r>
        <w:rPr>
          <w:sz w:val="24"/>
          <w:szCs w:val="24"/>
          <w:highlight w:val="white"/>
        </w:rPr>
      </w:r>
    </w:p>
    <w:p>
      <w:pPr>
        <w:pStyle w:val="815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815"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Антикоррупционная оговорка</w:t>
      </w:r>
      <w:r>
        <w:rPr>
          <w:b/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8.1. 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8.2. 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8.3.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 w:val="24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8.4.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8.5.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8.6. 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8.7. Каналы связи Линия доверия Группы РусГидро:</w:t>
      </w:r>
      <w:r>
        <w:rPr>
          <w:bCs/>
          <w:sz w:val="24"/>
          <w:szCs w:val="24"/>
        </w:rPr>
      </w:r>
    </w:p>
    <w:p>
      <w:pPr>
        <w:pStyle w:val="815"/>
        <w:ind w:left="709" w:right="0" w:firstLine="0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8.7.1. Электронная почта: </w:t>
      </w:r>
      <w:r>
        <w:rPr>
          <w:rStyle w:val="860"/>
          <w:sz w:val="24"/>
          <w:szCs w:val="24"/>
        </w:rPr>
        <w:t xml:space="preserve">ld@rushydro.ru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8.7.2. 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8.7.3. 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15"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9. Обстоятельства непреодолимой силы (форс-мажор)</w:t>
      </w:r>
      <w:r>
        <w:rPr>
          <w:b/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9.1. 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9.2. Сторона имеет право ссылаться на обстоятельства непреодолимой силы только </w:t>
        <w:br/>
        <w:t xml:space="preserve">в случае, </w:t>
      </w:r>
      <w:r>
        <w:rPr>
          <w:bCs/>
          <w:sz w:val="24"/>
          <w:szCs w:val="24"/>
          <w:shd w:val="clear" w:color="auto" w:fill="ffffff"/>
        </w:rPr>
        <w:t xml:space="preserve">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highlight w:val="none"/>
          <w:shd w:val="clear" w:color="auto" w:fill="ffffff"/>
        </w:rPr>
      </w:pPr>
      <w:r>
        <w:rPr>
          <w:bCs/>
          <w:sz w:val="24"/>
          <w:szCs w:val="24"/>
          <w:shd w:val="clear" w:color="auto" w:fill="ffffff"/>
        </w:rPr>
        <w:t xml:space="preserve">9.3. Сторона, для которой наступили обстоятельства непреодолимой силы, должна незамедлительно, но в любом случае не позднее 5 </w:t>
      </w:r>
      <w:r>
        <w:rPr>
          <w:bCs/>
          <w:sz w:val="24"/>
          <w:szCs w:val="24"/>
          <w:shd w:val="clear" w:color="auto" w:fill="ffffff"/>
        </w:rPr>
        <w:t xml:space="preserve">(пяти) календарных дней с момента возникновения таких обстоятельств, письменно известить другую Сторону о наступлении </w:t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highlight w:val="none"/>
          <w:shd w:val="clear" w:color="auto" w:fill="ffffff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shd w:val="clear" w:color="auto" w:fill="ffffff"/>
        </w:rPr>
        <w:t xml:space="preserve">9.4. Надлежащим (достаточным) доказательством нал</w:t>
      </w:r>
      <w:r>
        <w:rPr>
          <w:bCs/>
          <w:sz w:val="24"/>
          <w:szCs w:val="24"/>
        </w:rPr>
        <w:t xml:space="preserve">ичия/ возникновения и про</w:t>
      </w:r>
      <w:r>
        <w:rPr>
          <w:bCs/>
          <w:sz w:val="24"/>
          <w:szCs w:val="24"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9.5. Отсутствие уведомления или не</w:t>
      </w:r>
      <w:r>
        <w:rPr>
          <w:bCs/>
          <w:sz w:val="24"/>
          <w:szCs w:val="24"/>
        </w:rPr>
        <w:t xml:space="preserve">своевременное уведомление </w:t>
        <w:br/>
        <w:t xml:space="preserve">об обстоятельствах непреодолимой силы лишает соответствующую Сторону права </w:t>
        <w:br/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9.6. 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</w:p>
    <w:p>
      <w:pPr>
        <w:pStyle w:val="910"/>
        <w:ind w:left="0" w:right="0" w:firstLine="709"/>
        <w:jc w:val="both"/>
        <w:shd w:val="clear" w:color="auto" w:fill="ffffff"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</w:p>
    <w:p>
      <w:pPr>
        <w:pStyle w:val="815"/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contextualSpacing/>
        <w:ind w:left="0" w:firstLine="0"/>
        <w:jc w:val="center"/>
        <w:spacing w:before="0" w:after="0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10. Особые положения</w:t>
      </w:r>
      <w:r>
        <w:rPr>
          <w:b/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10.1. 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определенные постановлением Пленума Высшего Арбитражного Суда Российск</w:t>
      </w:r>
      <w:r>
        <w:rPr>
          <w:bCs/>
          <w:sz w:val="24"/>
          <w:szCs w:val="24"/>
        </w:rPr>
        <w:t xml:space="preserve">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№ 18162/09 и от 25.05.2010 № 15658/09, согласно которым при оценк</w:t>
      </w:r>
      <w:r>
        <w:rPr>
          <w:bCs/>
          <w:sz w:val="24"/>
          <w:szCs w:val="24"/>
        </w:rPr>
        <w:t xml:space="preserve">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</w:t>
      </w:r>
      <w:r>
        <w:rPr>
          <w:bCs/>
          <w:sz w:val="24"/>
          <w:szCs w:val="24"/>
        </w:rPr>
        <w:t xml:space="preserve">бязательств ресурсов, и/или соответствующие Критериям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10.2. Поставщик </w:t>
      </w:r>
      <w:r>
        <w:rPr>
          <w:bCs/>
          <w:sz w:val="24"/>
          <w:szCs w:val="24"/>
        </w:rPr>
        <w:t xml:space="preserve">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пункте 10.1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10.3. В случае на</w:t>
      </w:r>
      <w:r>
        <w:rPr>
          <w:bCs/>
          <w:sz w:val="24"/>
          <w:szCs w:val="24"/>
        </w:rPr>
        <w:t xml:space="preserve">рушения Поставщиком обязательств, установленных пунктами 10.1, 10.2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отказе от Дого</w:t>
      </w:r>
      <w:r>
        <w:rPr>
          <w:bCs/>
          <w:sz w:val="24"/>
          <w:szCs w:val="24"/>
        </w:rPr>
        <w:t xml:space="preserve">вора (исполнения Договора) с указанием даты прекращения (расторжения) Договора, которая должна наступать не ранее 10 (десяти) рабочих дней с даты получения Поставщиком такого уведомления. Договор считается прекращенным (расторгнутым) с даты, указанной в ув</w:t>
      </w:r>
      <w:r>
        <w:rPr>
          <w:bCs/>
          <w:sz w:val="24"/>
          <w:szCs w:val="24"/>
        </w:rPr>
        <w:t xml:space="preserve">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10.4. Поставщик обязан уплатить Покупателю </w:t>
      </w:r>
      <w:r>
        <w:rPr>
          <w:bCs/>
          <w:sz w:val="24"/>
          <w:szCs w:val="24"/>
        </w:rPr>
        <w:t xml:space="preserve">штраф в размере суммы денежных средств, перечисленной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10.1, 10.2 Договора.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10.5. Штраф, предусмотренный пунктом 10.4 Договора, оплачивается Поставщиком в течение 10 (десяти) рабочих дн</w:t>
      </w:r>
      <w:r>
        <w:rPr>
          <w:bCs/>
          <w:sz w:val="24"/>
          <w:szCs w:val="24"/>
        </w:rPr>
        <w:t xml:space="preserve">ей с даты получения соответствующего письменного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10.3 Договора.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10.6. Покупатель вправе приостановить осуществление любых платежей по Договору, причитающи</w:t>
      </w:r>
      <w:r>
        <w:rPr>
          <w:bCs/>
          <w:sz w:val="24"/>
          <w:szCs w:val="24"/>
        </w:rPr>
        <w:t xml:space="preserve">хся Поставщику, независимо от наличия оснований и наступления сроков таких платежей, до уплаты Поставщиком штрафа, предусмотренного пунктом 10.4 Договора. При этом Покупатель не будет считаться просрочившим и/ или нарушившим свои обязательства по Договору.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10.7. Независимо от других положений Договора, положения пунктов 10.4, 10.5 Договора продолжают действовать в течение 4 (четырех) лет после его прекращения (расторжения) или исполнения.</w:t>
      </w:r>
      <w:r>
        <w:rPr>
          <w:bCs/>
          <w:sz w:val="24"/>
          <w:szCs w:val="24"/>
        </w:rPr>
      </w:r>
    </w:p>
    <w:p>
      <w:pPr>
        <w:pStyle w:val="815"/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left="0" w:right="0" w:firstLine="709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11. 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11.1. 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</w:p>
    <w:p>
      <w:pPr>
        <w:pStyle w:val="910"/>
        <w:numPr>
          <w:ilvl w:val="0"/>
          <w:numId w:val="6"/>
        </w:numPr>
        <w:ind w:left="0" w:righ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лицом/индивидуальным предпринимателем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</w:p>
    <w:p>
      <w:pPr>
        <w:pStyle w:val="910"/>
        <w:numPr>
          <w:ilvl w:val="0"/>
          <w:numId w:val="6"/>
        </w:numPr>
        <w:ind w:left="0" w:righ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</w:t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</w:p>
    <w:p>
      <w:pPr>
        <w:pStyle w:val="910"/>
        <w:numPr>
          <w:ilvl w:val="0"/>
          <w:numId w:val="6"/>
        </w:numPr>
        <w:ind w:left="0" w:righ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</w:t>
      </w:r>
      <w:r>
        <w:rPr>
          <w:sz w:val="24"/>
          <w:szCs w:val="24"/>
        </w:rPr>
        <w:t xml:space="preserve">ения Договора органами управления </w:t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  <w:br/>
        <w:t xml:space="preserve">и иных лиц, необходимые для заключения и исполнения Договора;</w:t>
      </w:r>
      <w:r>
        <w:rPr>
          <w:sz w:val="24"/>
          <w:szCs w:val="24"/>
        </w:rPr>
      </w:r>
    </w:p>
    <w:p>
      <w:pPr>
        <w:pStyle w:val="910"/>
        <w:numPr>
          <w:ilvl w:val="0"/>
          <w:numId w:val="6"/>
        </w:numPr>
        <w:ind w:left="0" w:righ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</w:p>
    <w:p>
      <w:pPr>
        <w:pStyle w:val="910"/>
        <w:numPr>
          <w:ilvl w:val="0"/>
          <w:numId w:val="6"/>
        </w:numPr>
        <w:ind w:left="0" w:righ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</w:t>
      </w:r>
      <w:r>
        <w:rPr>
          <w:sz w:val="24"/>
          <w:szCs w:val="24"/>
          <w:highlight w:val="white"/>
        </w:rPr>
        <w:t xml:space="preserve">надлежащего исполнения обязательств, возникающих из Договора </w:t>
        <w:br/>
        <w:t xml:space="preserve">или в связи с ним. </w:t>
      </w:r>
      <w:r>
        <w:rPr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clear" w:pos="708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11.2. Поставщик заявляет и заверяет Покупателя в том, что на момент заключения Договора:</w:t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0"/>
          <w:numId w:val="7"/>
        </w:numPr>
        <w:ind w:left="0" w:right="0" w:firstLine="1058"/>
        <w:jc w:val="both"/>
        <w:shd w:val="clear" w:color="auto" w:fill="ffffff"/>
        <w:widowControl/>
        <w:tabs>
          <w:tab w:val="clear" w:pos="708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учредителем/ учредителями Поставщика являются лица, не являющиеся массовыми учредителем/ учредителями;</w:t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0"/>
          <w:numId w:val="7"/>
        </w:numPr>
        <w:ind w:left="0" w:right="0" w:firstLine="1058"/>
        <w:jc w:val="both"/>
        <w:shd w:val="clear" w:color="auto" w:fill="ffffff"/>
        <w:widowControl/>
        <w:tabs>
          <w:tab w:val="clear" w:pos="708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руководителем Поставщика является лицо, не являющееся массовым руководителем;</w:t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0"/>
          <w:numId w:val="7"/>
        </w:numPr>
        <w:ind w:left="0" w:right="0" w:firstLine="1058"/>
        <w:jc w:val="both"/>
        <w:shd w:val="clear" w:color="auto" w:fill="ffffff"/>
        <w:widowControl/>
        <w:tabs>
          <w:tab w:val="clear" w:pos="708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фактически находится по адресу, указанному в Едином государственном реестре юридических лиц;</w:t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0"/>
          <w:numId w:val="7"/>
        </w:numPr>
        <w:ind w:left="0" w:right="0" w:firstLine="1058"/>
        <w:jc w:val="both"/>
        <w:shd w:val="clear" w:color="auto" w:fill="ffffff"/>
        <w:widowControl/>
        <w:tabs>
          <w:tab w:val="clear" w:pos="708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своевременно и в полном объеме уплачивает налоги и сборы </w:t>
        <w:br/>
        <w:t xml:space="preserve">в соответствии с законодательством Российской Федерации;</w:t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0"/>
          <w:numId w:val="7"/>
        </w:numPr>
        <w:ind w:left="0" w:right="0" w:firstLine="1058"/>
        <w:jc w:val="both"/>
        <w:shd w:val="clear" w:color="auto" w:fill="ffffff"/>
        <w:widowControl/>
        <w:tabs>
          <w:tab w:val="clear" w:pos="708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Поставщик не находится в процедуре несостоятельности (банкротства) </w:t>
        <w:br/>
        <w:t xml:space="preserve">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</w:t>
      </w:r>
      <w:r>
        <w:rPr>
          <w:sz w:val="24"/>
          <w:szCs w:val="24"/>
        </w:rPr>
        <w:t xml:space="preserve">ной власти и должностных лиц, иные обстоятельства способные повлиять на возможность Поставщика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</w:p>
    <w:p>
      <w:pPr>
        <w:pStyle w:val="910"/>
        <w:numPr>
          <w:ilvl w:val="0"/>
          <w:numId w:val="7"/>
        </w:numPr>
        <w:ind w:left="0" w:right="0" w:firstLine="1058"/>
        <w:jc w:val="both"/>
        <w:shd w:val="clear" w:color="auto" w:fill="ffffff"/>
        <w:widowControl/>
        <w:tabs>
          <w:tab w:val="clear" w:pos="708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тщательно изучил всю информацию, связанную с Дого</w:t>
      </w:r>
      <w:r>
        <w:rPr>
          <w:sz w:val="24"/>
          <w:szCs w:val="24"/>
        </w:rPr>
        <w:t xml:space="preserve">вором, </w:t>
        <w:br/>
        <w:t xml:space="preserve">в том числе по вопросам, влияющим на сроки, стоимость и качество Товара, полностью ознакомлен со всеми условиями поставки Товара,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</w:p>
    <w:p>
      <w:pPr>
        <w:pStyle w:val="910"/>
        <w:numPr>
          <w:ilvl w:val="0"/>
          <w:numId w:val="7"/>
        </w:numPr>
        <w:ind w:left="0" w:right="0" w:firstLine="1058"/>
        <w:jc w:val="both"/>
        <w:shd w:val="clear" w:color="auto" w:fill="ffffff"/>
        <w:widowControl/>
        <w:tabs>
          <w:tab w:val="clear" w:pos="708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своевременно и в полном объеме в соответствии </w:t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</w:p>
    <w:p>
      <w:pPr>
        <w:pStyle w:val="910"/>
        <w:numPr>
          <w:ilvl w:val="0"/>
          <w:numId w:val="7"/>
        </w:numPr>
        <w:ind w:left="0" w:right="0" w:firstLine="1058"/>
        <w:jc w:val="both"/>
        <w:shd w:val="clear" w:color="auto" w:fill="ffffff"/>
        <w:widowControl/>
        <w:tabs>
          <w:tab w:val="clear" w:pos="708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вся информация, предоставленная Покупателю, является достоверной, полной </w:t>
        <w:br/>
        <w:t xml:space="preserve">и точной, и Поставщик не скрыл никаких обстоятельств, которые при их обнаружении могли бы негативно повлиять на решение Покупателя заключить Договор на указанных в нем условиях.</w:t>
      </w:r>
      <w:r>
        <w:rPr>
          <w:sz w:val="24"/>
          <w:szCs w:val="24"/>
          <w:highlight w:val="white"/>
        </w:rPr>
      </w:r>
    </w:p>
    <w:p>
      <w:pPr>
        <w:pStyle w:val="815"/>
        <w:ind w:left="0" w:right="0" w:firstLine="709"/>
        <w:jc w:val="both"/>
        <w:widowControl/>
        <w:tabs>
          <w:tab w:val="clear" w:pos="708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11.3. При заключении и исполнении Договора каждая Сторона полагается </w:t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clear" w:pos="708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11.4. В случае,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Покупателю недостоверные заверения о любом из указанных в настоящем разделе Договора обстоятельств, 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по письменному требованию Покупателя уплатить последнему штраф в размере 5 (пяти) процентов от Цены Договора, указанной в пункте 2.1 Договора.</w:t>
      </w:r>
      <w:r>
        <w:rPr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clear" w:pos="708" w:leader="none"/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11.5. Недостоверность, неточность или неполнота любых указанных в настоящем разделе Договора 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</w:p>
    <w:p>
      <w:pPr>
        <w:pStyle w:val="910"/>
        <w:ind w:lef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12. 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rPr>
          <w:sz w:val="24"/>
          <w:szCs w:val="24"/>
        </w:rPr>
      </w:pPr>
      <w:r>
        <w:rPr>
          <w:sz w:val="24"/>
          <w:szCs w:val="24"/>
        </w:rPr>
        <w:t xml:space="preserve">12.1. Договор может быть прекращен (расторгнут) по соглашению Сторон. Сторо</w:t>
      </w:r>
      <w:r>
        <w:rPr>
          <w:sz w:val="24"/>
          <w:szCs w:val="24"/>
        </w:rPr>
        <w:t xml:space="preserve">на, имеющая намерение расторгнуть Договор, направляет письменное уведомление об этом другой Стороне в порядке, предусмотренном пунктом 14.7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rPr>
          <w:sz w:val="24"/>
          <w:szCs w:val="24"/>
        </w:rPr>
      </w:pPr>
      <w:r>
        <w:rPr>
          <w:sz w:val="24"/>
          <w:szCs w:val="24"/>
        </w:rPr>
        <w:t xml:space="preserve">12.2. 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</w:t>
      </w:r>
      <w:r>
        <w:rPr>
          <w:sz w:val="24"/>
          <w:szCs w:val="24"/>
        </w:rPr>
        <w:t xml:space="preserve">за 30 (тридцать) календарных дней до предполагаемой даты расторжения Договора. 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rPr>
          <w:highlight w:val="white"/>
        </w:rPr>
      </w:pPr>
      <w:r>
        <w:rPr>
          <w:sz w:val="24"/>
          <w:szCs w:val="24"/>
          <w:highlight w:val="white"/>
        </w:rPr>
        <w:t xml:space="preserve">12.3. В случае существенного нарушения Договора Поставщиком Покупатель вправе в одностороннем внесудебном порядке отказаться от Договора. </w:t>
      </w:r>
      <w:r>
        <w:rPr>
          <w:highlight w:val="white"/>
        </w:rPr>
      </w:r>
    </w:p>
    <w:p>
      <w:pPr>
        <w:pStyle w:val="910"/>
        <w:ind w:left="0" w:right="0" w:firstLine="709"/>
        <w:jc w:val="both"/>
        <w:shd w:val="clear" w:color="auto" w:fill="ffffff"/>
        <w:widowControl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Стороны установили, что существенным нарушением Договора Поставщиком является:</w:t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0"/>
          <w:numId w:val="8"/>
        </w:numPr>
        <w:ind w:left="0" w:right="0" w:firstLine="1058"/>
        <w:jc w:val="both"/>
        <w:shd w:val="clear" w:color="auto" w:fill="ffffff"/>
        <w:widowControl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нарушение Поставщиком общего срока поставки Товара по Договору, более чем на 60 (шестьдесят) календарных дней по причинам, не зависящим от Покупателя; </w:t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0"/>
          <w:numId w:val="8"/>
        </w:numPr>
        <w:ind w:left="0" w:right="0" w:firstLine="1058"/>
        <w:jc w:val="both"/>
        <w:shd w:val="clear" w:color="auto" w:fill="ffffff"/>
        <w:widowControl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нарушение Поставщиком общего срока выполнения шеф-монтажных и шеф наладочных работ по Договору, более чем на 60 (шестьдесят) календарных дней по причинам, не зависящим от Покупателя; </w:t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0"/>
          <w:numId w:val="8"/>
        </w:numPr>
        <w:ind w:left="0" w:right="0" w:firstLine="1058"/>
        <w:jc w:val="both"/>
        <w:shd w:val="clear" w:color="auto" w:fill="ffffff"/>
        <w:widowControl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несоблюдение</w:t>
      </w:r>
      <w:r>
        <w:rPr>
          <w:sz w:val="24"/>
          <w:szCs w:val="24"/>
          <w:highlight w:val="white"/>
        </w:rPr>
        <w:t xml:space="preserve">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60 (шестьдесят) календарных дней, либо такие недостатки (дефекты) являются неустранимыми; </w:t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0"/>
          <w:numId w:val="8"/>
        </w:numPr>
        <w:ind w:left="0" w:right="0" w:firstLine="1058"/>
        <w:jc w:val="both"/>
        <w:shd w:val="clear" w:color="auto" w:fill="ffffff"/>
        <w:widowControl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0"/>
          <w:numId w:val="8"/>
        </w:numPr>
        <w:ind w:left="0" w:right="0" w:firstLine="1058"/>
        <w:jc w:val="both"/>
        <w:shd w:val="clear" w:color="auto" w:fill="ffffff"/>
        <w:widowControl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установление в ходе исполнения Договора фактов несоответствия Поставщика установленным документацией о закупке требованиям к участникам закупки и/ или предоставлен</w:t>
      </w:r>
      <w:r>
        <w:rPr>
          <w:sz w:val="24"/>
          <w:szCs w:val="24"/>
          <w:highlight w:val="white"/>
        </w:rP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11 Договора, и имеющих существенное значение для его заключения и исполнения;</w:t>
      </w:r>
      <w:r>
        <w:rPr>
          <w:sz w:val="24"/>
          <w:szCs w:val="24"/>
          <w:highlight w:val="white"/>
        </w:rPr>
      </w:r>
    </w:p>
    <w:p>
      <w:pPr>
        <w:pStyle w:val="926"/>
        <w:ind w:left="0" w:right="0" w:firstLine="709"/>
        <w:jc w:val="both"/>
        <w:spacing w:before="0" w:beforeAutospacing="0" w:after="0" w:afterAutospacing="0"/>
        <w:rPr>
          <w:highlight w:val="white"/>
        </w:rPr>
      </w:pPr>
      <w:r>
        <w:rPr>
          <w:highlight w:val="white"/>
        </w:rPr>
        <w:t xml:space="preserve">12.4. В сл</w:t>
      </w:r>
      <w:r>
        <w:rPr>
          <w:highlight w:val="white"/>
        </w:rPr>
        <w:t xml:space="preserve">учае отказа Покупателя от Договора в случаях, предусмотренных пунктами 12.2, 12.3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>
        <w:rPr>
          <w:highlight w:val="white"/>
        </w:rPr>
      </w:r>
    </w:p>
    <w:p>
      <w:pPr>
        <w:pStyle w:val="926"/>
        <w:ind w:left="0" w:right="0" w:firstLine="709"/>
        <w:jc w:val="both"/>
        <w:spacing w:before="0" w:beforeAutospacing="0" w:after="0" w:afterAutospacing="0"/>
      </w:pPr>
      <w:r>
        <w:t xml:space="preserve">12.5. С даты прекращения (расторжения) Договора Поставщик обязан прекратить поставку Товара.</w:t>
      </w:r>
      <w:r/>
    </w:p>
    <w:p>
      <w:pPr>
        <w:pStyle w:val="926"/>
        <w:ind w:left="0" w:right="0" w:firstLine="709"/>
        <w:jc w:val="both"/>
        <w:spacing w:before="0" w:beforeAutospacing="0" w:after="0" w:afterAutospacing="0"/>
      </w:pPr>
      <w:r>
        <w:t xml:space="preserve">12.6. При прекращении (растор</w:t>
      </w:r>
      <w:r>
        <w:t xml:space="preserve">жении) Договора по основаниям, указанным </w:t>
        <w:br/>
        <w:t xml:space="preserve">в настоящем разделе Договора, все обязательства Сторон по Договору считаются прекратившимися, за исключением обязательств по незавершенным расчетам, гарантийным обязательствам Поставщика в соответствии с разделом 5</w:t>
      </w:r>
      <w:bookmarkStart w:id="5" w:name="undefined_Копия_3"/>
      <w:r/>
      <w:bookmarkEnd w:id="2"/>
      <w:r>
        <w:t xml:space="preserve"> Договора, а также обязательств Поставщика по оплате неустойки, штрафов, возмещению убытков в случаях и размерах, предусмотренных Договором.</w:t>
      </w:r>
      <w:r/>
    </w:p>
    <w:p>
      <w:pPr>
        <w:pStyle w:val="910"/>
        <w:ind w:left="0" w:firstLine="709"/>
        <w:jc w:val="both"/>
        <w:shd w:val="clear" w:color="auto" w:fill="ffffff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13. Разрешение споров</w:t>
      </w:r>
      <w:r>
        <w:rPr>
          <w:b/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13.1. Все споры, разногласия и требования, возникающие между Сторонами 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13.2. Споры, указанные в пункте 13.1 Договора, которые не были уре</w:t>
      </w:r>
      <w:r>
        <w:rPr>
          <w:bCs/>
          <w:sz w:val="24"/>
          <w:szCs w:val="24"/>
        </w:rPr>
        <w:t xml:space="preserve">гулированы Сторонами путем переговоров, подлежат разрешению в Арбитражном суде Амурской области в соответствии с законодательством Российской Федерации, за исключением споров из Банковской гарантии, подсудность которых предусмотрена пунктом 2.6.4 Договора.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13.3. Сторонами применяется обязательный </w:t>
      </w:r>
      <w:r>
        <w:rPr>
          <w:bCs/>
          <w:sz w:val="24"/>
          <w:szCs w:val="24"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14.7 Договора.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13.4. Срок для рассмотрения претензии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13.5. 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</w:p>
    <w:p>
      <w:pPr>
        <w:pStyle w:val="910"/>
        <w:ind w:left="0" w:right="0" w:firstLine="709"/>
        <w:jc w:val="both"/>
        <w:shd w:val="clear" w:color="auto" w:fill="ffffff"/>
        <w:widowControl/>
        <w:tabs>
          <w:tab w:val="left" w:pos="142" w:leader="none"/>
          <w:tab w:val="clear" w:pos="70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15"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14. Заключительные положения</w:t>
      </w:r>
      <w:r>
        <w:rPr>
          <w:b/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14.1. Договор вступает в силу с даты его подписания Сторонами и действует по 01.04.2028 г., а в части не исполненных обязательств - до полного их исполнения Сторонами.</w:t>
      </w:r>
      <w:r>
        <w:rPr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14.2. Все изменения и</w:t>
      </w:r>
      <w:r>
        <w:rPr>
          <w:sz w:val="24"/>
          <w:szCs w:val="24"/>
        </w:rPr>
        <w:t xml:space="preserve">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пунктом 14.6 Договора. </w:t>
      </w:r>
      <w:r>
        <w:rPr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14.3 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14.4. В случае наличия любых расхождений между содержанием Договора и приложений к нему, приоритет имеет текст Договора.</w:t>
      </w:r>
      <w:r>
        <w:rPr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14.5. 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</w:t>
      </w:r>
      <w:r>
        <w:rPr>
          <w:sz w:val="24"/>
          <w:szCs w:val="24"/>
        </w:rPr>
        <w:t xml:space="preserve">ном пунктом 14.7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14.6. </w:t>
      </w:r>
      <w:bookmarkEnd w:id="5"/>
      <w:r>
        <w:rPr>
          <w:sz w:val="24"/>
          <w:szCs w:val="24"/>
        </w:rPr>
        <w:t xml:space="preserve">Стороны обязуются уведомлять друг друга об изменении адреса и/ или реквизитов, указанных в разделе 16 Договора, не позднее 3 (трех) рабочих дней после такого изменения в порядке, установленном пунктом 14.7 Договора.</w:t>
      </w:r>
      <w:bookmarkStart w:id="6" w:name="undefined_Копия_4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bCs/>
          <w:sz w:val="24"/>
          <w:szCs w:val="24"/>
          <w:highlight w:val="white"/>
        </w:rPr>
      </w:pPr>
      <w:r/>
      <w:bookmarkEnd w:id="6"/>
      <w:r>
        <w:rPr>
          <w:sz w:val="24"/>
          <w:szCs w:val="24"/>
          <w:highlight w:val="white"/>
        </w:rPr>
        <w:t xml:space="preserve">14.7. Письма, уведомления и/ или сообщения направляются Стороне-получателю следующими способами: </w:t>
      </w:r>
      <w:r>
        <w:rPr>
          <w:bCs/>
          <w:sz w:val="24"/>
          <w:szCs w:val="24"/>
          <w:highlight w:val="white"/>
        </w:rPr>
      </w:r>
    </w:p>
    <w:p>
      <w:pPr>
        <w:pStyle w:val="815"/>
        <w:ind w:left="0" w:right="0" w:firstLine="709"/>
        <w:jc w:val="both"/>
        <w:tabs>
          <w:tab w:val="clear" w:pos="708" w:leader="none"/>
          <w:tab w:val="left" w:pos="156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14.7.1. Заказным почтовым отправлением с уведомлением о вручении </w:t>
      </w:r>
      <w:r>
        <w:rPr>
          <w:sz w:val="24"/>
          <w:szCs w:val="24"/>
          <w:highlight w:val="white"/>
        </w:rPr>
        <w:t xml:space="preserve">по адресу ее места нахождения/ почтовому адресу, указанному в разделе 16 Договора, или в ранее полученном уведомлении Стороны об изменении адреса </w:t>
      </w:r>
      <w:r>
        <w:rPr>
          <w:bCs/>
          <w:sz w:val="24"/>
          <w:szCs w:val="24"/>
          <w:highlight w:val="white"/>
        </w:rPr>
        <w:t xml:space="preserve">– </w:t>
      </w:r>
      <w:r>
        <w:rPr>
          <w:sz w:val="24"/>
          <w:szCs w:val="24"/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адресу;</w:t>
      </w:r>
      <w:r>
        <w:rPr>
          <w:sz w:val="24"/>
          <w:szCs w:val="24"/>
          <w:highlight w:val="white"/>
        </w:rPr>
      </w:r>
    </w:p>
    <w:p>
      <w:pPr>
        <w:pStyle w:val="815"/>
        <w:ind w:left="0" w:right="0" w:firstLine="709"/>
        <w:jc w:val="both"/>
        <w:tabs>
          <w:tab w:val="clear" w:pos="708" w:leader="none"/>
          <w:tab w:val="left" w:pos="1560" w:leader="none"/>
        </w:tabs>
        <w:rPr>
          <w:sz w:val="24"/>
          <w:szCs w:val="24"/>
          <w:highlight w:val="white"/>
        </w:rPr>
      </w:pPr>
      <w:r/>
      <w:bookmarkStart w:id="7" w:name="undefined_Копия_5"/>
      <w:r/>
      <w:bookmarkEnd w:id="7"/>
      <w:r>
        <w:rPr>
          <w:bCs/>
          <w:sz w:val="24"/>
          <w:szCs w:val="24"/>
          <w:highlight w:val="white"/>
        </w:rPr>
        <w:t xml:space="preserve">14.7.2. Доставкой лично или курьером Стороны-отправителя </w:t>
      </w:r>
      <w:r>
        <w:rPr>
          <w:sz w:val="24"/>
          <w:szCs w:val="24"/>
          <w:highlight w:val="white"/>
        </w:rPr>
        <w:t xml:space="preserve">по адресу ее места нахождения/ почтовому адресу, указанному в разделе 16 Договора, или в ранее полученном уведомлении Стороны об изменении адреса</w:t>
      </w:r>
      <w:r>
        <w:rPr>
          <w:bCs/>
          <w:sz w:val="24"/>
          <w:szCs w:val="24"/>
          <w:highlight w:val="white"/>
        </w:rPr>
        <w:t xml:space="preserve"> – в дату и время фактического приема уведомления Стороной-получателем с отметкой о получении;</w:t>
      </w:r>
      <w:r>
        <w:rPr>
          <w:sz w:val="24"/>
          <w:szCs w:val="24"/>
          <w:highlight w:val="white"/>
        </w:rPr>
      </w:r>
    </w:p>
    <w:p>
      <w:pPr>
        <w:pStyle w:val="815"/>
        <w:ind w:left="0" w:right="0" w:firstLine="709"/>
        <w:jc w:val="both"/>
        <w:tabs>
          <w:tab w:val="clear" w:pos="708" w:leader="none"/>
          <w:tab w:val="left" w:pos="156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14.7.3. Посредством электронной почты (</w:t>
      </w:r>
      <w:r>
        <w:rPr>
          <w:bCs/>
          <w:sz w:val="24"/>
          <w:szCs w:val="24"/>
          <w:highlight w:val="white"/>
          <w:lang w:val="en-US"/>
        </w:rPr>
        <w:t xml:space="preserve">e</w:t>
      </w:r>
      <w:r>
        <w:rPr>
          <w:bCs/>
          <w:sz w:val="24"/>
          <w:szCs w:val="24"/>
          <w:highlight w:val="white"/>
        </w:rPr>
        <w:t xml:space="preserve">-</w:t>
      </w:r>
      <w:r>
        <w:rPr>
          <w:bCs/>
          <w:sz w:val="24"/>
          <w:szCs w:val="24"/>
          <w:highlight w:val="white"/>
          <w:lang w:val="en-US"/>
        </w:rPr>
        <w:t xml:space="preserve">mail</w:t>
      </w:r>
      <w:r>
        <w:rPr>
          <w:bCs/>
          <w:sz w:val="24"/>
          <w:szCs w:val="24"/>
          <w:highlight w:val="white"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  <w:highlight w:val="white"/>
        </w:rPr>
      </w:r>
    </w:p>
    <w:p>
      <w:pPr>
        <w:pStyle w:val="910"/>
        <w:ind w:left="0" w:right="0" w:firstLine="709"/>
        <w:jc w:val="both"/>
        <w:shd w:val="clear" w:color="auto" w:fill="ffffff"/>
        <w:tabs>
          <w:tab w:val="left" w:pos="0" w:leader="none"/>
          <w:tab w:val="clear" w:pos="708" w:leader="none"/>
          <w:tab w:val="left" w:pos="1418" w:leader="none"/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14.7.1 – 14.7.2 Договора. </w:t>
      </w:r>
      <w:r>
        <w:rPr>
          <w:bCs/>
          <w:sz w:val="24"/>
          <w:szCs w:val="24"/>
          <w:highlight w:val="white"/>
        </w:rPr>
      </w:r>
    </w:p>
    <w:p>
      <w:pPr>
        <w:pStyle w:val="815"/>
        <w:ind w:left="0" w:right="0" w:firstLine="709"/>
        <w:jc w:val="both"/>
        <w:widowControl/>
        <w:tabs>
          <w:tab w:val="left" w:pos="0" w:leader="none"/>
          <w:tab w:val="clear" w:pos="708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14.8. 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14.9. 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 </w:t>
      </w:r>
      <w:r>
        <w:rPr>
          <w:bCs/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14.10. Стороны договорились в рамках исполнения Договора</w:t>
      </w:r>
      <w:r>
        <w:rPr>
          <w:bCs/>
          <w:sz w:val="24"/>
          <w:szCs w:val="24"/>
        </w:rPr>
        <w:t xml:space="preserve">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с которыми у Сторон заключены соответствующие Со</w:t>
      </w:r>
      <w:r>
        <w:rPr>
          <w:bCs/>
          <w:sz w:val="24"/>
          <w:szCs w:val="24"/>
        </w:rPr>
        <w:t xml:space="preserve">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Поставщиком</w:t>
      </w:r>
      <w:r>
        <w:rPr>
          <w:bCs/>
          <w:sz w:val="24"/>
          <w:szCs w:val="24"/>
        </w:rPr>
        <w:t xml:space="preserve">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операторов, инициирует настройку роуминга между операторами систем электронного документооборота Сторон. </w:t>
      </w:r>
      <w:r>
        <w:rPr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14.11. Во всем остальном, что не урегулировано Договором, Стороны руководствуются законодательством Российской Федерации.</w:t>
      </w:r>
      <w:r>
        <w:rPr>
          <w:sz w:val="24"/>
          <w:szCs w:val="24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</w:pPr>
      <w:r>
        <w:rPr>
          <w:sz w:val="24"/>
          <w:szCs w:val="24"/>
        </w:rPr>
        <w:t xml:space="preserve">14.12.Договор за</w:t>
      </w:r>
      <w:r>
        <w:rPr>
          <w:sz w:val="24"/>
          <w:szCs w:val="24"/>
        </w:rPr>
        <w:t xml:space="preserve">ключается в электронной форме с использованием программно-аппаратных средств информационной системы электронного документооборота путем его подписания усиленными квалифицированными электронными подписями (далее – УКЭП) уполномоченных представителей Сторон.</w:t>
      </w:r>
      <w:r/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highlight w:val="white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Либо</w:t>
      </w:r>
      <w:r>
        <w:rPr>
          <w:highlight w:val="white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Договор составлен в 2 (двух) оригинальных экземплярах, имеющих равную юридическую силу, по 1 (одному) для каждой из Сторон.</w:t>
      </w:r>
      <w:r>
        <w:rPr>
          <w:highlight w:val="white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815"/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1276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815"/>
        <w:contextualSpacing/>
        <w:ind w:left="0" w:firstLine="0"/>
        <w:jc w:val="center"/>
        <w:spacing w:before="0" w:after="0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15. Список приложений </w:t>
      </w:r>
      <w:r>
        <w:rPr>
          <w:b/>
          <w:bCs/>
          <w:sz w:val="24"/>
          <w:szCs w:val="24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 </w:t>
      </w:r>
      <w:r>
        <w:rPr>
          <w:rFonts w:eastAsia="Calibri"/>
          <w:sz w:val="24"/>
          <w:szCs w:val="24"/>
          <w:lang w:eastAsia="en-US"/>
        </w:rPr>
        <w:t xml:space="preserve">—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Спецификация;</w:t>
      </w:r>
      <w:r>
        <w:rPr>
          <w:sz w:val="24"/>
          <w:szCs w:val="24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</w:pPr>
      <w:r>
        <w:rPr>
          <w:sz w:val="24"/>
          <w:szCs w:val="24"/>
        </w:rPr>
        <w:t xml:space="preserve">Приложение № 2 </w:t>
      </w:r>
      <w:r>
        <w:rPr>
          <w:sz w:val="24"/>
          <w:szCs w:val="24"/>
        </w:rPr>
        <w:t xml:space="preserve">—</w:t>
      </w:r>
      <w:r>
        <w:rPr>
          <w:sz w:val="24"/>
          <w:szCs w:val="24"/>
        </w:rPr>
        <w:t xml:space="preserve"> Условия банковской гарантии возврата авансового платежа</w:t>
      </w:r>
      <w:r>
        <w:t xml:space="preserve">;</w:t>
      </w:r>
      <w:r/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</w:pPr>
      <w:r>
        <w:rPr>
          <w:sz w:val="24"/>
          <w:szCs w:val="24"/>
        </w:rPr>
        <w:t xml:space="preserve">Приложение № 3 </w:t>
      </w:r>
      <w:r>
        <w:rPr>
          <w:sz w:val="24"/>
          <w:szCs w:val="24"/>
        </w:rPr>
        <w:t xml:space="preserve">—</w:t>
      </w:r>
      <w:r>
        <w:rPr>
          <w:sz w:val="24"/>
          <w:szCs w:val="24"/>
        </w:rPr>
        <w:t xml:space="preserve"> Критерии отбора Банков-Гарантов</w:t>
      </w:r>
      <w:r>
        <w:t xml:space="preserve">;</w:t>
      </w:r>
      <w:r/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4 </w:t>
      </w:r>
      <w:r>
        <w:rPr>
          <w:sz w:val="24"/>
          <w:szCs w:val="24"/>
        </w:rPr>
        <w:t xml:space="preserve">—</w:t>
      </w:r>
      <w:r>
        <w:rPr>
          <w:sz w:val="24"/>
          <w:szCs w:val="24"/>
        </w:rPr>
        <w:t xml:space="preserve"> Форма акта приемки-передачи банковской гарантии;</w:t>
      </w:r>
      <w:r>
        <w:rPr>
          <w:sz w:val="24"/>
          <w:szCs w:val="24"/>
          <w:highlight w:val="none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№5 —  Акт сдачи-приемки выполненных работ.</w:t>
      </w:r>
      <w:r>
        <w:rPr>
          <w:sz w:val="24"/>
          <w:szCs w:val="24"/>
          <w:highlight w:val="none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815"/>
        <w:ind w:firstLine="709"/>
        <w:jc w:val="both"/>
        <w:shd w:val="clear" w:color="auto" w:fill="ffffff"/>
        <w:widowControl/>
        <w:tabs>
          <w:tab w:val="left" w:pos="0" w:leader="none"/>
          <w:tab w:val="clear" w:pos="708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815"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16. Адреса и платежные реквизиты Сторон</w:t>
      </w:r>
      <w:r>
        <w:rPr>
          <w:b/>
          <w:bCs/>
          <w:sz w:val="24"/>
          <w:szCs w:val="24"/>
          <w:highlight w:val="white"/>
        </w:rPr>
      </w:r>
    </w:p>
    <w:tbl>
      <w:tblPr>
        <w:tblW w:w="9636" w:type="dxa"/>
        <w:tblInd w:w="157" w:type="dxa"/>
        <w:tblLayout w:type="fixed"/>
        <w:tblCellMar>
          <w:left w:w="5" w:type="dxa"/>
          <w:top w:w="0" w:type="dxa"/>
          <w:right w:w="5" w:type="dxa"/>
          <w:bottom w:w="0" w:type="dxa"/>
        </w:tblCellMar>
        <w:tblLook w:val="01E0" w:firstRow="1" w:lastRow="1" w:firstColumn="1" w:lastColumn="1" w:noHBand="0" w:noVBand="0"/>
      </w:tblPr>
      <w:tblGrid>
        <w:gridCol w:w="4818"/>
        <w:gridCol w:w="4817"/>
      </w:tblGrid>
      <w:tr>
        <w:tblPrEx/>
        <w:trPr>
          <w:trHeight w:val="6094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818" w:type="dxa"/>
            <w:textDirection w:val="lrTb"/>
            <w:noWrap w:val="false"/>
          </w:tcPr>
          <w:p>
            <w:pPr>
              <w:pStyle w:val="930"/>
              <w:ind w:left="1487" w:right="0" w:firstLine="0"/>
              <w:spacing w:before="5" w:after="0"/>
              <w:widowControl w:val="off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Покупатель: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pStyle w:val="930"/>
              <w:ind w:left="107" w:right="0" w:firstLine="0"/>
              <w:widowControl w:val="off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АО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«ДГК»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pStyle w:val="930"/>
              <w:ind w:left="107" w:right="0" w:firstLine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Место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нахождения: </w:t>
            </w:r>
            <w:r>
              <w:rPr>
                <w:rFonts w:ascii="Times New Roman" w:hAnsi="Times New Roman"/>
                <w:sz w:val="24"/>
              </w:rPr>
              <w:t xml:space="preserve">Российская Федерация,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930"/>
              <w:ind w:left="107" w:right="1056" w:firstLine="0"/>
              <w:widowControl w:val="off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</w:rPr>
              <w:t xml:space="preserve">г. Хабаровск.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30"/>
              <w:ind w:left="107" w:right="0" w:firstLine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Адрес:680000,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Хабаровский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край,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930"/>
              <w:ind w:left="107" w:right="1056" w:firstLine="0"/>
              <w:widowControl w:val="off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</w:rPr>
              <w:t xml:space="preserve">г. Хабаровск, ул. Фрунзе, д. 49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30"/>
              <w:ind w:left="107" w:right="1056" w:firstLine="0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ИНН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1434031363,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КПП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997650001,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30"/>
              <w:ind w:left="107" w:right="0" w:firstLine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ОГРН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1051401746769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930"/>
              <w:ind w:left="107" w:right="0" w:firstLine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Дальневосточный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Банк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ПАО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«Сбербанк России» г. Хабаровск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930"/>
              <w:ind w:left="107" w:right="0" w:firstLine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р/сч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40702810270000008818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930"/>
              <w:ind w:left="107" w:right="0" w:firstLine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к/сч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30101810600000000608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930"/>
              <w:ind w:left="107" w:right="0" w:firstLine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БИК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040813608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930"/>
              <w:ind w:left="107" w:right="1456" w:firstLine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СП</w:t>
            </w:r>
            <w:r>
              <w:rPr>
                <w:rFonts w:ascii="Times New Roman" w:hAnsi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«Благовещенская</w:t>
            </w:r>
            <w:r>
              <w:rPr>
                <w:rFonts w:ascii="Times New Roman" w:hAnsi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ТЭЦ» </w:t>
            </w:r>
            <w:r>
              <w:rPr>
                <w:rFonts w:ascii="Times New Roman" w:hAnsi="Times New Roman"/>
                <w:sz w:val="24"/>
              </w:rPr>
              <w:t xml:space="preserve">Адрес для корреспонденции: 675007, Амурская область,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930"/>
              <w:ind w:left="107" w:right="222" w:firstLine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г.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Благовещенск,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ул.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Загородная,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д.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177 ИНН 1434031363, КПП 280145003,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930"/>
              <w:ind w:left="107" w:right="0" w:firstLine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ОКПО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94737356,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ОКВЭД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40.10.11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930"/>
              <w:ind w:left="107" w:right="0" w:firstLine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Телефон: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8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(4162)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398-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469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930"/>
              <w:ind w:left="107" w:right="0" w:firstLine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Факс: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8 (4162) 398-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411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930"/>
              <w:ind w:left="107" w:right="0" w:firstLine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Электронный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адрес: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_____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817" w:type="dxa"/>
            <w:textDirection w:val="lrTb"/>
            <w:noWrap w:val="false"/>
          </w:tcPr>
          <w:p>
            <w:pPr>
              <w:pStyle w:val="930"/>
              <w:ind w:left="108" w:right="1456" w:firstLine="1619"/>
              <w:spacing w:before="5" w:after="0"/>
              <w:widowControl w:val="off"/>
              <w:rPr>
                <w:highlight w:val="none"/>
                <w:shd w:val="clear" w:color="auto" w:fill="ffffff"/>
                <w14:ligatures w14:val="none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hd w:val="clear" w:color="auto" w:fill="ffffff"/>
                <w14:ligatures w14:val="none"/>
              </w:rPr>
              <w:t xml:space="preserve">Поставщик:</w:t>
            </w:r>
            <w:r>
              <w:rPr>
                <w:highlight w:val="none"/>
                <w:shd w:val="clear" w:color="auto" w:fill="ffffff"/>
                <w14:ligatures w14:val="none"/>
              </w:rPr>
            </w:r>
          </w:p>
          <w:p>
            <w:pPr>
              <w:pStyle w:val="930"/>
              <w:ind w:left="108" w:right="1456" w:firstLine="0"/>
              <w:spacing w:before="5" w:after="0"/>
              <w:widowControl w:val="off"/>
              <w:rPr>
                <w:highlight w:val="none"/>
                <w:shd w:val="clear" w:color="auto" w:fill="ffffff"/>
                <w14:ligatures w14:val="none"/>
              </w:rPr>
            </w:pPr>
            <w:r>
              <w:rPr>
                <w:shd w:val="clear" w:color="auto" w:fill="ffffff"/>
                <w14:ligatures w14:val="none"/>
              </w:rPr>
            </w:r>
            <w:r>
              <w:rPr>
                <w:highlight w:val="none"/>
                <w:shd w:val="clear" w:color="auto" w:fill="ffffff"/>
                <w14:ligatures w14:val="none"/>
              </w:rPr>
            </w:r>
          </w:p>
          <w:p>
            <w:pPr>
              <w:pStyle w:val="930"/>
              <w:ind w:left="108" w:right="1456" w:firstLine="0"/>
              <w:spacing w:before="5" w:after="0"/>
              <w:widowControl w:val="off"/>
              <w:rPr>
                <w:highlight w:val="none"/>
                <w:shd w:val="clear" w:color="auto" w:fill="ffffff"/>
                <w14:ligatures w14:val="none"/>
              </w:rPr>
            </w:pPr>
            <w:r>
              <w:rPr>
                <w:shd w:val="clear" w:color="auto" w:fill="ffffff"/>
                <w14:ligatures w14:val="none"/>
              </w:rPr>
            </w:r>
            <w:r>
              <w:rPr>
                <w:highlight w:val="none"/>
                <w:shd w:val="clear" w:color="auto" w:fill="ffffff"/>
                <w14:ligatures w14:val="none"/>
              </w:rPr>
            </w:r>
          </w:p>
        </w:tc>
      </w:tr>
      <w:tr>
        <w:tblPrEx/>
        <w:trPr>
          <w:trHeight w:val="96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4818" w:type="dxa"/>
            <w:textDirection w:val="lrTb"/>
            <w:noWrap w:val="false"/>
          </w:tcPr>
          <w:p>
            <w:pPr>
              <w:pStyle w:val="930"/>
              <w:ind w:left="107" w:right="0" w:firstLine="0"/>
              <w:spacing w:before="271" w:after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Директор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СП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«Благовещенская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ТЭЦ»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4817" w:type="dxa"/>
            <w:textDirection w:val="lrTb"/>
            <w:noWrap w:val="false"/>
          </w:tcPr>
          <w:p>
            <w:pPr>
              <w:pStyle w:val="930"/>
              <w:ind w:left="108" w:right="0" w:firstLine="0"/>
              <w:spacing w:before="271" w:after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55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4818" w:type="dxa"/>
            <w:textDirection w:val="lrTb"/>
            <w:noWrap w:val="false"/>
          </w:tcPr>
          <w:p>
            <w:pPr>
              <w:pStyle w:val="930"/>
              <w:ind w:left="107" w:right="0" w:firstLine="0"/>
              <w:spacing w:before="133" w:after="0"/>
              <w:widowControl w:val="off"/>
              <w:tabs>
                <w:tab w:val="clear" w:pos="708" w:leader="none"/>
                <w:tab w:val="left" w:pos="1305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</w:rPr>
              <w:t xml:space="preserve">/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А.В.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Сазанов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4817" w:type="dxa"/>
            <w:textDirection w:val="lrTb"/>
            <w:noWrap w:val="false"/>
          </w:tcPr>
          <w:p>
            <w:pPr>
              <w:pStyle w:val="930"/>
              <w:ind w:left="108" w:right="0" w:firstLine="0"/>
              <w:spacing w:before="133" w:after="0"/>
              <w:widowControl w:val="off"/>
              <w:tabs>
                <w:tab w:val="clear" w:pos="708" w:leader="none"/>
                <w:tab w:val="left" w:pos="1305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</w:rPr>
              <w:t xml:space="preserve">/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55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4818" w:type="dxa"/>
            <w:textDirection w:val="lrTb"/>
            <w:noWrap w:val="false"/>
          </w:tcPr>
          <w:p>
            <w:pPr>
              <w:pStyle w:val="930"/>
              <w:ind w:left="107" w:right="0" w:firstLine="0"/>
              <w:spacing w:before="133" w:after="0"/>
              <w:widowControl w:val="off"/>
              <w:tabs>
                <w:tab w:val="clear" w:pos="708" w:leader="none"/>
                <w:tab w:val="left" w:pos="827" w:leader="none"/>
                <w:tab w:val="left" w:pos="2742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«</w:t>
            </w:r>
            <w:r>
              <w:rPr>
                <w:rFonts w:ascii="Times New Roman" w:hAnsi="Times New Roman"/>
                <w:sz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</w:rPr>
              <w:t xml:space="preserve">2026 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г.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4817" w:type="dxa"/>
            <w:textDirection w:val="lrTb"/>
            <w:noWrap w:val="false"/>
          </w:tcPr>
          <w:p>
            <w:pPr>
              <w:pStyle w:val="930"/>
              <w:ind w:left="108" w:right="0" w:firstLine="0"/>
              <w:spacing w:before="133" w:after="0"/>
              <w:widowControl w:val="off"/>
              <w:tabs>
                <w:tab w:val="clear" w:pos="708" w:leader="none"/>
                <w:tab w:val="left" w:pos="827" w:leader="none"/>
                <w:tab w:val="left" w:pos="2742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«</w:t>
            </w:r>
            <w:r>
              <w:rPr>
                <w:rFonts w:ascii="Times New Roman" w:hAnsi="Times New Roman"/>
                <w:sz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</w:rPr>
              <w:t xml:space="preserve">2026 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г.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679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8" w:type="dxa"/>
            <w:textDirection w:val="lrTb"/>
            <w:noWrap w:val="false"/>
          </w:tcPr>
          <w:p>
            <w:pPr>
              <w:pStyle w:val="930"/>
              <w:ind w:left="107" w:right="0" w:firstLine="0"/>
              <w:spacing w:before="133" w:after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 xml:space="preserve">М.П.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7" w:type="dxa"/>
            <w:textDirection w:val="lrTb"/>
            <w:noWrap w:val="false"/>
          </w:tcPr>
          <w:p>
            <w:pPr>
              <w:pStyle w:val="930"/>
              <w:ind w:left="108" w:right="0" w:firstLine="0"/>
              <w:spacing w:before="133" w:after="0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 xml:space="preserve">М.П.</w:t>
            </w: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sectPr>
          <w:headerReference w:type="default" r:id="rId9"/>
          <w:footerReference w:type="default" r:id="rId14"/>
          <w:footnotePr/>
          <w:endnotePr/>
          <w:type w:val="nextPage"/>
          <w:pgSz w:w="11906" w:h="16838" w:orient="portrait"/>
          <w:pgMar w:top="851" w:right="851" w:bottom="1134" w:left="1418" w:header="709" w:footer="709" w:gutter="0"/>
          <w:cols w:num="1" w:sep="0" w:space="1701" w:equalWidth="1"/>
          <w:docGrid w:linePitch="360"/>
        </w:sectPr>
      </w:pPr>
      <w:r/>
      <w:r/>
    </w:p>
    <w:p>
      <w:pPr>
        <w:pStyle w:val="815"/>
        <w:contextualSpacing/>
        <w:ind w:left="0" w:right="0" w:firstLine="0"/>
        <w:jc w:val="right"/>
        <w:spacing w:before="0" w:after="0" w:line="240" w:lineRule="auto"/>
        <w:widowControl w:val="off"/>
        <w:rPr>
          <w:b w:val="0"/>
          <w:bCs w:val="0"/>
        </w:rPr>
      </w:pPr>
      <w:r>
        <w:rPr>
          <w:rFonts w:eastAsia="Lucida Sans Unicode" w:cs="Times New Roman"/>
          <w:b w:val="0"/>
          <w:bCs w:val="0"/>
          <w:sz w:val="24"/>
          <w:szCs w:val="24"/>
        </w:rPr>
        <w:t xml:space="preserve">Приложение № 1</w:t>
      </w:r>
      <w:r>
        <w:rPr>
          <w:b w:val="0"/>
          <w:bCs w:val="0"/>
        </w:rPr>
      </w:r>
    </w:p>
    <w:p>
      <w:pPr>
        <w:pStyle w:val="815"/>
        <w:ind w:left="0" w:right="0" w:firstLine="0"/>
        <w:jc w:val="right"/>
        <w:rPr>
          <w:b w:val="0"/>
          <w:bCs w:val="0"/>
        </w:rPr>
      </w:pPr>
      <w:r>
        <w:rPr>
          <w:rFonts w:eastAsia="Lucida Sans Unicode" w:cs="Times New Roman"/>
          <w:b w:val="0"/>
          <w:bCs w:val="0"/>
          <w:sz w:val="24"/>
          <w:szCs w:val="24"/>
        </w:rPr>
        <w:t xml:space="preserve">к договору поставки № _____ от _____ г</w:t>
      </w:r>
      <w:r>
        <w:rPr>
          <w:b w:val="0"/>
          <w:bCs w:val="0"/>
        </w:rPr>
      </w:r>
    </w:p>
    <w:p>
      <w:pPr>
        <w:pStyle w:val="815"/>
        <w:ind w:left="720"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15"/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bCs/>
          <w:sz w:val="24"/>
          <w:szCs w:val="24"/>
          <w:highlight w:val="none"/>
        </w:rPr>
      </w:r>
    </w:p>
    <w:p>
      <w:pPr>
        <w:pStyle w:val="81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15867" w:type="dxa"/>
        <w:tblInd w:w="-88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15"/>
        <w:gridCol w:w="1795"/>
        <w:gridCol w:w="1175"/>
        <w:gridCol w:w="2964"/>
        <w:gridCol w:w="1198"/>
        <w:gridCol w:w="746"/>
        <w:gridCol w:w="695"/>
        <w:gridCol w:w="2686"/>
        <w:gridCol w:w="4091"/>
      </w:tblGrid>
      <w:tr>
        <w:tblPrEx/>
        <w:trPr>
          <w:trHeight w:val="5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" w:type="dxa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 </w:t>
            </w:r>
            <w:r>
              <w:rPr>
                <w:bCs/>
                <w:color w:val="000000"/>
                <w:sz w:val="22"/>
                <w:szCs w:val="22"/>
              </w:rPr>
              <w:t xml:space="preserve">п/п</w:t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5" w:type="dxa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5" w:type="dxa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4" w:type="dxa"/>
            <w:textDirection w:val="lrTb"/>
            <w:noWrap w:val="false"/>
          </w:tcPr>
          <w:p>
            <w:pPr>
              <w:pStyle w:val="815"/>
              <w:widowControl w:val="off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</w:rPr>
              <w:t xml:space="preserve">Технические и функциональные характеристики Товара</w:t>
            </w:r>
            <w:r>
              <w:rPr>
                <w:color w:val="000000"/>
                <w:sz w:val="22"/>
                <w:szCs w:val="22"/>
                <w:highlight w:val="lightGray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8" w:type="dxa"/>
            <w:textDirection w:val="lrTb"/>
            <w:noWrap w:val="false"/>
          </w:tcPr>
          <w:p>
            <w:pPr>
              <w:pStyle w:val="815"/>
              <w:jc w:val="center"/>
              <w:widowControl w:val="off"/>
              <w:tabs>
                <w:tab w:val="left" w:pos="59" w:leader="none"/>
                <w:tab w:val="clear" w:pos="708" w:leader="none"/>
              </w:tabs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Страна происхождения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dxa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Ед.изм.</w:t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" w:type="dxa"/>
            <w:textDirection w:val="lrTb"/>
            <w:noWrap w:val="false"/>
          </w:tcPr>
          <w:p>
            <w:pPr>
              <w:pStyle w:val="815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Кол-во,</w:t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815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шт.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6" w:type="dxa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1" w:type="dxa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Перечень сопроводительных документов (в том числе подтверждающих качество Товара)</w:t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" w:type="dxa"/>
            <w:vAlign w:val="center"/>
            <w:textDirection w:val="lrTb"/>
            <w:noWrap w:val="false"/>
          </w:tcPr>
          <w:p>
            <w:pPr>
              <w:pStyle w:val="815"/>
              <w:ind w:left="0" w:right="0" w:firstLine="0"/>
              <w:jc w:val="center"/>
              <w:widowControl w:val="off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1</w:t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95" w:type="dxa"/>
            <w:vAlign w:val="center"/>
            <w:textDirection w:val="lrTb"/>
            <w:noWrap w:val="false"/>
          </w:tcPr>
          <w:p>
            <w:pPr>
              <w:pStyle w:val="815"/>
              <w:widowControl w:val="off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5" w:type="dxa"/>
            <w:vAlign w:val="center"/>
            <w:textDirection w:val="lrTb"/>
            <w:noWrap w:val="false"/>
          </w:tcPr>
          <w:p>
            <w:pPr>
              <w:pStyle w:val="815"/>
              <w:ind w:firstLine="0"/>
              <w:widowControl w:val="off"/>
              <w:rPr>
                <w:highlight w:val="none"/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highlight w:val="none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64" w:type="dxa"/>
            <w:vAlign w:val="center"/>
            <w:textDirection w:val="lrTb"/>
            <w:noWrap w:val="false"/>
          </w:tcPr>
          <w:p>
            <w:pPr>
              <w:pStyle w:val="815"/>
              <w:widowControl w:val="off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8" w:type="dxa"/>
            <w:vAlign w:val="center"/>
            <w:textDirection w:val="lrTb"/>
            <w:noWrap w:val="false"/>
          </w:tcPr>
          <w:p>
            <w:pPr>
              <w:pStyle w:val="815"/>
              <w:ind w:firstLine="0"/>
              <w:widowControl w:val="off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dxa"/>
            <w:vAlign w:val="center"/>
            <w:textDirection w:val="lrTb"/>
            <w:noWrap w:val="false"/>
          </w:tcPr>
          <w:p>
            <w:pPr>
              <w:pStyle w:val="815"/>
              <w:ind w:firstLine="0"/>
              <w:widowControl w:val="off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" w:type="dxa"/>
            <w:vAlign w:val="center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6" w:type="dxa"/>
            <w:vAlign w:val="center"/>
            <w:textDirection w:val="lrTb"/>
            <w:noWrap w:val="false"/>
          </w:tcPr>
          <w:p>
            <w:pPr>
              <w:pStyle w:val="815"/>
              <w:ind w:firstLine="0"/>
              <w:jc w:val="center"/>
              <w:widowControl w:val="off"/>
              <w:rPr>
                <w:highlight w:val="none"/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highlight w:val="none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1" w:type="dxa"/>
            <w:vAlign w:val="center"/>
            <w:textDirection w:val="lrTb"/>
            <w:noWrap w:val="false"/>
          </w:tcPr>
          <w:p>
            <w:pPr>
              <w:pStyle w:val="815"/>
              <w:ind w:firstLine="0"/>
              <w:jc w:val="left"/>
              <w:widowControl w:val="off"/>
              <w:rPr>
                <w:highlight w:val="none"/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highlight w:val="none"/>
                <w:shd w:val="clear" w:color="auto" w:fill="ffffff"/>
              </w:rPr>
            </w:r>
          </w:p>
        </w:tc>
      </w:tr>
      <w:tr>
        <w:tblPrEx/>
        <w:trPr>
          <w:trHeight w:val="409"/>
        </w:trPr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8" w:type="dxa"/>
            <w:vAlign w:val="center"/>
            <w:textDirection w:val="lrTb"/>
            <w:noWrap w:val="false"/>
          </w:tcPr>
          <w:p>
            <w:pPr>
              <w:pStyle w:val="815"/>
              <w:jc w:val="right"/>
              <w:widowControl w:val="off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Итого без НДС, руб</w:t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6" w:type="dxa"/>
            <w:vAlign w:val="center"/>
            <w:textDirection w:val="lrTb"/>
            <w:noWrap w:val="false"/>
          </w:tcPr>
          <w:p>
            <w:pPr>
              <w:pStyle w:val="815"/>
              <w:ind w:firstLine="0"/>
              <w:jc w:val="center"/>
              <w:widowControl w:val="off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1" w:type="dxa"/>
            <w:vAlign w:val="center"/>
            <w:textDirection w:val="lrTb"/>
            <w:noWrap w:val="false"/>
          </w:tcPr>
          <w:p>
            <w:pPr>
              <w:pStyle w:val="815"/>
              <w:ind w:left="720" w:firstLine="709"/>
              <w:jc w:val="center"/>
              <w:widowControl w:val="off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09"/>
        </w:trPr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8" w:type="dxa"/>
            <w:vAlign w:val="center"/>
            <w:textDirection w:val="lrTb"/>
            <w:noWrap w:val="false"/>
          </w:tcPr>
          <w:p>
            <w:pPr>
              <w:pStyle w:val="815"/>
              <w:jc w:val="right"/>
              <w:widowControl w:val="off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НДС (___%)</w:t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6" w:type="dxa"/>
            <w:vAlign w:val="center"/>
            <w:textDirection w:val="lrTb"/>
            <w:noWrap w:val="false"/>
          </w:tcPr>
          <w:p>
            <w:pPr>
              <w:pStyle w:val="815"/>
              <w:ind w:firstLine="0"/>
              <w:jc w:val="center"/>
              <w:widowControl w:val="off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1" w:type="dxa"/>
            <w:vAlign w:val="center"/>
            <w:textDirection w:val="lrTb"/>
            <w:noWrap w:val="false"/>
          </w:tcPr>
          <w:p>
            <w:pPr>
              <w:pStyle w:val="815"/>
              <w:ind w:left="720" w:firstLine="709"/>
              <w:jc w:val="center"/>
              <w:widowControl w:val="off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09"/>
        </w:trPr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8" w:type="dxa"/>
            <w:vAlign w:val="center"/>
            <w:textDirection w:val="lrTb"/>
            <w:noWrap w:val="false"/>
          </w:tcPr>
          <w:p>
            <w:pPr>
              <w:pStyle w:val="815"/>
              <w:jc w:val="right"/>
              <w:widowControl w:val="off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Итого с НДС, руб</w:t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6" w:type="dxa"/>
            <w:vAlign w:val="center"/>
            <w:textDirection w:val="lrTb"/>
            <w:noWrap w:val="false"/>
          </w:tcPr>
          <w:p>
            <w:pPr>
              <w:pStyle w:val="815"/>
              <w:ind w:firstLine="0"/>
              <w:jc w:val="center"/>
              <w:widowControl w:val="off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1" w:type="dxa"/>
            <w:vAlign w:val="center"/>
            <w:textDirection w:val="lrTb"/>
            <w:noWrap w:val="false"/>
          </w:tcPr>
          <w:p>
            <w:pPr>
              <w:pStyle w:val="815"/>
              <w:ind w:left="720" w:firstLine="709"/>
              <w:jc w:val="center"/>
              <w:widowControl w:val="off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pStyle w:val="815"/>
        <w:jc w:val="left"/>
      </w:pPr>
      <w:r>
        <w:rPr>
          <w:b w:val="0"/>
          <w:bCs w:val="0"/>
          <w:sz w:val="24"/>
          <w:szCs w:val="24"/>
        </w:rPr>
        <w:t xml:space="preserve">Грузополучатель, адрес доставки:АО «ДГК» СП «Благовещенская ТЭЦ» 675007, Амурская область, г. Благовещенск, ул. Загородная, 177,ИНН 1434031363, КПП 280145003 </w:t>
      </w:r>
      <w:r/>
    </w:p>
    <w:p>
      <w:pPr>
        <w:pStyle w:val="815"/>
        <w:numPr>
          <w:ilvl w:val="0"/>
          <w:numId w:val="0"/>
        </w:numPr>
        <w:ind w:left="0"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075" w:type="dxa"/>
        <w:tblInd w:w="-6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245"/>
        <w:gridCol w:w="7829"/>
      </w:tblGrid>
      <w:tr>
        <w:tblPrEx/>
        <w:trPr/>
        <w:tc>
          <w:tcPr>
            <w:shd w:val="clear" w:color="auto" w:fill="auto"/>
            <w:tcW w:w="7245" w:type="dxa"/>
            <w:textDirection w:val="lrTb"/>
            <w:noWrap w:val="false"/>
          </w:tcPr>
          <w:p>
            <w:pPr>
              <w:pStyle w:val="815"/>
              <w:ind w:left="720" w:firstLine="0"/>
              <w:jc w:val="left"/>
              <w:spacing w:line="240" w:lineRule="auto"/>
              <w:widowControl w:val="off"/>
            </w:pPr>
            <w:r>
              <w:rPr>
                <w:b/>
                <w:sz w:val="24"/>
              </w:rPr>
              <w:t xml:space="preserve">Покупатель:</w:t>
            </w:r>
            <w:r/>
          </w:p>
          <w:p>
            <w:pPr>
              <w:pStyle w:val="815"/>
              <w:ind w:left="720" w:firstLine="0"/>
              <w:jc w:val="left"/>
              <w:spacing w:line="240" w:lineRule="auto"/>
              <w:widowControl w:val="off"/>
            </w:pPr>
            <w:r>
              <w:rPr>
                <w:b/>
                <w:sz w:val="24"/>
              </w:rPr>
              <w:t xml:space="preserve">Директор СП «Благовещенская ТЭЦ»</w:t>
            </w:r>
            <w:r/>
          </w:p>
        </w:tc>
        <w:tc>
          <w:tcPr>
            <w:shd w:val="clear" w:color="auto" w:fill="auto"/>
            <w:tcW w:w="7829" w:type="dxa"/>
            <w:textDirection w:val="lrTb"/>
            <w:noWrap w:val="false"/>
          </w:tcPr>
          <w:p>
            <w:pPr>
              <w:pStyle w:val="815"/>
              <w:ind w:left="720" w:firstLine="0"/>
              <w:jc w:val="left"/>
              <w:spacing w:line="240" w:lineRule="auto"/>
              <w:widowControl w:val="off"/>
            </w:pPr>
            <w:r>
              <w:rPr>
                <w:b/>
                <w:sz w:val="24"/>
              </w:rPr>
              <w:t xml:space="preserve">Поставщик:</w:t>
            </w:r>
            <w:r/>
          </w:p>
          <w:p>
            <w:pPr>
              <w:pStyle w:val="815"/>
              <w:ind w:left="720" w:firstLine="0"/>
              <w:jc w:val="left"/>
              <w:spacing w:line="240" w:lineRule="auto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815"/>
              <w:ind w:left="720" w:firstLine="0"/>
              <w:jc w:val="left"/>
              <w:spacing w:line="240" w:lineRule="auto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7245" w:type="dxa"/>
            <w:textDirection w:val="lrTb"/>
            <w:noWrap w:val="false"/>
          </w:tcPr>
          <w:p>
            <w:pPr>
              <w:pStyle w:val="815"/>
              <w:ind w:left="720" w:firstLine="0"/>
              <w:jc w:val="left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jc w:val="left"/>
              <w:spacing w:line="240" w:lineRule="auto"/>
              <w:widowControl w:val="off"/>
            </w:pPr>
            <w:r>
              <w:rPr>
                <w:sz w:val="22"/>
                <w:szCs w:val="22"/>
              </w:rPr>
              <w:t xml:space="preserve">_______________ / А.В. Сазанов</w:t>
            </w:r>
            <w:r/>
          </w:p>
          <w:p>
            <w:pPr>
              <w:pStyle w:val="815"/>
              <w:ind w:left="720" w:firstLine="0"/>
              <w:jc w:val="left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7829" w:type="dxa"/>
            <w:textDirection w:val="lrTb"/>
            <w:noWrap w:val="false"/>
          </w:tcPr>
          <w:p>
            <w:pPr>
              <w:pStyle w:val="815"/>
              <w:ind w:left="720" w:firstLine="0"/>
              <w:jc w:val="left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jc w:val="left"/>
              <w:spacing w:line="240" w:lineRule="auto"/>
              <w:widowControl w:val="off"/>
            </w:pPr>
            <w:r>
              <w:rPr>
                <w:sz w:val="22"/>
                <w:szCs w:val="22"/>
              </w:rPr>
              <w:t xml:space="preserve">_______________ /</w:t>
            </w:r>
            <w:r/>
          </w:p>
          <w:p>
            <w:pPr>
              <w:pStyle w:val="815"/>
              <w:ind w:left="720" w:firstLine="0"/>
              <w:jc w:val="left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sectPr>
          <w:headerReference w:type="default" r:id="rId10"/>
          <w:headerReference w:type="first" r:id="rId11"/>
          <w:footerReference w:type="default" r:id="rId15"/>
          <w:footerReference w:type="first" r:id="rId16"/>
          <w:footnotePr/>
          <w:endnotePr/>
          <w:type w:val="nextPage"/>
          <w:pgSz w:w="16838" w:h="11906" w:orient="landscape"/>
          <w:pgMar w:top="1418" w:right="851" w:bottom="851" w:left="1134" w:header="709" w:footer="709" w:gutter="0"/>
          <w:cols w:num="1" w:sep="0" w:space="1701" w:equalWidth="1"/>
          <w:docGrid w:linePitch="360"/>
        </w:sectPr>
      </w:pPr>
      <w:r/>
      <w:r/>
    </w:p>
    <w:p>
      <w:pPr>
        <w:pStyle w:val="815"/>
        <w:ind w:firstLine="720"/>
        <w:jc w:val="right"/>
        <w:spacing w:before="0" w:after="0" w:line="240" w:lineRule="auto"/>
        <w:widowControl w:val="off"/>
        <w:rPr>
          <w:b w:val="0"/>
          <w:bCs w:val="0"/>
        </w:rPr>
      </w:pPr>
      <w:r>
        <w:rPr>
          <w:rFonts w:eastAsia="Lucida Sans Unicode" w:cs="Times New Roman"/>
          <w:b w:val="0"/>
          <w:bCs w:val="0"/>
          <w:sz w:val="24"/>
          <w:szCs w:val="24"/>
        </w:rPr>
        <w:t xml:space="preserve">Приложение № 2</w:t>
      </w:r>
      <w:r>
        <w:rPr>
          <w:b w:val="0"/>
          <w:bCs w:val="0"/>
        </w:rPr>
      </w:r>
    </w:p>
    <w:p>
      <w:pPr>
        <w:pStyle w:val="815"/>
        <w:ind w:firstLine="720"/>
        <w:jc w:val="right"/>
        <w:spacing w:before="0" w:after="0" w:line="240" w:lineRule="auto"/>
        <w:widowControl w:val="off"/>
        <w:rPr>
          <w:b w:val="0"/>
          <w:bCs w:val="0"/>
        </w:rPr>
      </w:pPr>
      <w:r>
        <w:rPr>
          <w:rFonts w:eastAsia="Lucida Sans Unicode" w:cs="Times New Roman"/>
          <w:b w:val="0"/>
          <w:bCs w:val="0"/>
          <w:sz w:val="24"/>
          <w:szCs w:val="24"/>
        </w:rPr>
        <w:t xml:space="preserve">к договору поставки № _____ от ______ г.</w:t>
      </w:r>
      <w:r>
        <w:rPr>
          <w:b w:val="0"/>
          <w:bCs w:val="0"/>
        </w:rPr>
      </w:r>
    </w:p>
    <w:p>
      <w:pPr>
        <w:pStyle w:val="815"/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15"/>
        <w:jc w:val="righ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5"/>
        <w:jc w:val="center"/>
        <w:widowControl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Условия банковской гарантии возврата авансового платежа</w:t>
      </w:r>
      <w:r>
        <w:rPr>
          <w:b/>
          <w:bCs/>
          <w:sz w:val="24"/>
          <w:szCs w:val="24"/>
          <w:highlight w:val="none"/>
        </w:rPr>
      </w:r>
    </w:p>
    <w:p>
      <w:pPr>
        <w:pStyle w:val="815"/>
        <w:jc w:val="center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5"/>
        <w:ind w:firstLine="709"/>
        <w:jc w:val="both"/>
        <w:spacing w:before="20" w:after="20" w:line="240" w:lineRule="auto"/>
        <w:tabs>
          <w:tab w:val="left" w:pos="540" w:leader="none"/>
          <w:tab w:val="clear" w:pos="708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Под банковской гарантией возврата авансового платежа понимается гарантия согласованного Обществом Банка</w:t>
      </w:r>
      <w:r>
        <w:rPr>
          <w:rFonts w:cs="Times New Roman"/>
          <w:sz w:val="24"/>
          <w:szCs w:val="24"/>
        </w:rPr>
        <w:t xml:space="preserve">, </w:t>
      </w:r>
      <w:r>
        <w:rPr>
          <w:rFonts w:cs="Times New Roman"/>
          <w:bCs/>
          <w:sz w:val="24"/>
          <w:szCs w:val="24"/>
        </w:rPr>
        <w:t xml:space="preserve">которая будет регулироваться унифицированными правилами </w:t>
      </w:r>
      <w:r>
        <w:rPr>
          <w:rFonts w:cs="Times New Roman"/>
          <w:bCs/>
          <w:sz w:val="24"/>
          <w:szCs w:val="24"/>
        </w:rPr>
        <w:t xml:space="preserve">Международной торговой палаты – публикация МТП № 758 (ICC Uniform Rules Demand Guarantees – ICC Publication № 758) в той мере, в какой указанные правила не противоречат императивным нормам законодательства Российской Федерации и следующим основным условиям</w:t>
      </w:r>
      <w:r>
        <w:rPr>
          <w:rFonts w:cs="Times New Roman"/>
          <w:color w:val="000000"/>
          <w:sz w:val="24"/>
          <w:szCs w:val="24"/>
        </w:rPr>
        <w:t xml:space="preserve">: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10"/>
        <w:numPr>
          <w:ilvl w:val="0"/>
          <w:numId w:val="9"/>
        </w:numPr>
        <w:contextualSpacing/>
        <w:ind w:left="0" w:right="0" w:firstLine="709"/>
        <w:jc w:val="both"/>
        <w:spacing w:before="20" w:after="20" w:line="240" w:lineRule="auto"/>
        <w:tabs>
          <w:tab w:val="left" w:pos="540" w:leader="none"/>
          <w:tab w:val="clear" w:pos="708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банковская гарантия должна быть безотзывной и безусловной (гарантия по первому требованию);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10"/>
        <w:numPr>
          <w:ilvl w:val="0"/>
          <w:numId w:val="9"/>
        </w:numPr>
        <w:contextualSpacing/>
        <w:ind w:left="0" w:right="0" w:firstLine="709"/>
        <w:jc w:val="both"/>
        <w:spacing w:before="20" w:after="20" w:line="240" w:lineRule="auto"/>
        <w:tabs>
          <w:tab w:val="left" w:pos="540" w:leader="none"/>
          <w:tab w:val="clear" w:pos="708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бенефициар по банковской гарантии - Покупатель, принципал – Поставщик;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10"/>
        <w:numPr>
          <w:ilvl w:val="0"/>
          <w:numId w:val="9"/>
        </w:numPr>
        <w:contextualSpacing/>
        <w:ind w:left="0" w:right="0" w:firstLine="709"/>
        <w:jc w:val="both"/>
        <w:spacing w:before="20" w:after="20" w:line="240" w:lineRule="auto"/>
        <w:tabs>
          <w:tab w:val="left" w:pos="540" w:leader="none"/>
          <w:tab w:val="clear" w:pos="708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сумма банковской гарантии выражена в валюте расчетов по Договору;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10"/>
        <w:numPr>
          <w:ilvl w:val="0"/>
          <w:numId w:val="9"/>
        </w:numPr>
        <w:contextualSpacing/>
        <w:ind w:left="0" w:right="0" w:firstLine="709"/>
        <w:jc w:val="both"/>
        <w:spacing w:before="20" w:after="20" w:line="240" w:lineRule="auto"/>
        <w:tabs>
          <w:tab w:val="left" w:pos="540" w:leader="none"/>
          <w:tab w:val="clear" w:pos="70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cs="Times New Roman"/>
          <w:bCs/>
          <w:sz w:val="24"/>
          <w:szCs w:val="24"/>
        </w:rPr>
        <w:t xml:space="preserve">сумма банковской гарантии возврата авансового платежа - не менее 100 (ста) % от </w:t>
      </w:r>
      <w:r>
        <w:rPr>
          <w:rFonts w:cs="Times New Roman"/>
          <w:bCs/>
          <w:sz w:val="24"/>
          <w:szCs w:val="24"/>
          <w:highlight w:val="white"/>
        </w:rPr>
        <w:t xml:space="preserve">суммы уплачиваемого по Договору аванса (в совокупной сумме с учетом ранее выплаченных и неотработанных авансовых платежей);</w:t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0"/>
          <w:numId w:val="9"/>
        </w:numPr>
        <w:contextualSpacing/>
        <w:ind w:left="0" w:right="0" w:firstLine="709"/>
        <w:jc w:val="both"/>
        <w:spacing w:before="20" w:after="20" w:line="240" w:lineRule="auto"/>
        <w:tabs>
          <w:tab w:val="left" w:pos="540" w:leader="none"/>
          <w:tab w:val="clear" w:pos="708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  <w:highlight w:val="white"/>
        </w:rPr>
        <w:t xml:space="preserve">срок окончания банковской гарантии - не ранее 70 (семидесяти) календарных дней после наступления даты, в которую заканчивается срок исполнения обязательств по Договору.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815"/>
        <w:ind w:firstLine="709"/>
        <w:jc w:val="both"/>
        <w:spacing w:before="20" w:after="2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Банковская гарантия должна предусматривать,</w:t>
      </w:r>
      <w:r>
        <w:rPr>
          <w:rFonts w:eastAsia="Times New Roman" w:cs="Times New Roman"/>
          <w:bCs/>
          <w:sz w:val="24"/>
          <w:szCs w:val="24"/>
        </w:rPr>
        <w:t xml:space="preserve"> что для истребования суммы обеспечения Общество направляет Банку-гаранту только письменное требование о предъявлении суммы обеспечения к оплате, как полностью, так и частично, с указанием на существо допущенных Поставщиком нарушений, в том числе в случаях</w:t>
      </w:r>
      <w:r>
        <w:rPr>
          <w:rFonts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10"/>
        <w:numPr>
          <w:ilvl w:val="0"/>
          <w:numId w:val="10"/>
        </w:numPr>
        <w:contextualSpacing/>
        <w:ind w:left="0" w:right="0" w:firstLine="709"/>
        <w:jc w:val="both"/>
        <w:spacing w:before="20" w:after="2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отказа Поставщика от исполнения обязательств по Договору, в том числе одностороннего отказа от Договора;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pStyle w:val="910"/>
        <w:numPr>
          <w:ilvl w:val="0"/>
          <w:numId w:val="10"/>
        </w:numPr>
        <w:contextualSpacing/>
        <w:ind w:left="0" w:right="0"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отказа Поставщика от возврата неотработанного аванса при досрочном прекращении Договора / признании Договора недействительным;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0"/>
        <w:numPr>
          <w:ilvl w:val="0"/>
          <w:numId w:val="10"/>
        </w:numPr>
        <w:contextualSpacing/>
        <w:ind w:left="0" w:right="0" w:firstLine="709"/>
        <w:jc w:val="both"/>
        <w:spacing w:before="20" w:after="2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нарушения Поставщиком сроков поставки (выполнения работ, оказания услуг), установленных </w:t>
      </w:r>
      <w:r>
        <w:rPr>
          <w:rFonts w:eastAsia="Times New Roman" w:cs="Times New Roman"/>
          <w:bCs/>
          <w:sz w:val="24"/>
          <w:szCs w:val="24"/>
        </w:rPr>
        <w:t xml:space="preserve">в Спецификациях (Приложение № 1 к Договору) более, чем на 60 (шестьдесят)</w:t>
      </w:r>
      <w:r>
        <w:rPr>
          <w:rFonts w:eastAsia="Times New Roman" w:cs="Times New Roman"/>
          <w:bCs/>
          <w:sz w:val="24"/>
          <w:szCs w:val="24"/>
          <w:highlight w:val="white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highlight w:val="white"/>
        </w:rPr>
        <w:t xml:space="preserve"> календарных дней;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</w:p>
    <w:p>
      <w:pPr>
        <w:pStyle w:val="910"/>
        <w:numPr>
          <w:ilvl w:val="0"/>
          <w:numId w:val="10"/>
        </w:numPr>
        <w:contextualSpacing/>
        <w:ind w:left="0" w:right="0" w:firstLine="709"/>
        <w:jc w:val="both"/>
        <w:spacing w:before="20" w:after="2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утраты Поставщиком специальных разрешений (в том числе отзыв, прекращение (приостановление) действие допусков, разрешений) и / или лицензий, предоставляющих Поставщику возможность надлежащего исполнения обязательств по Договору;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pStyle w:val="910"/>
        <w:numPr>
          <w:ilvl w:val="0"/>
          <w:numId w:val="10"/>
        </w:numPr>
        <w:contextualSpacing/>
        <w:ind w:left="0" w:right="0" w:firstLine="709"/>
        <w:jc w:val="both"/>
        <w:spacing w:before="20" w:after="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введения арбитражным судом процедуры несостоятельности (банкротства) в отношении Поставщ</w:t>
      </w:r>
      <w:r>
        <w:rPr>
          <w:rFonts w:cs="Times New Roman"/>
          <w:color w:val="000000"/>
          <w:sz w:val="24"/>
          <w:szCs w:val="24"/>
        </w:rPr>
        <w:t xml:space="preserve">ика;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10"/>
        <w:numPr>
          <w:ilvl w:val="0"/>
          <w:numId w:val="10"/>
        </w:numPr>
        <w:contextualSpacing/>
        <w:ind w:left="0" w:right="0" w:firstLine="709"/>
        <w:jc w:val="both"/>
        <w:spacing w:before="20" w:after="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установления в ходе исполнения Договора фактов несоответствия Поставщика установленным документацией о закупке требованиям к участникам закупки и / или п</w:t>
      </w:r>
      <w:r>
        <w:rPr>
          <w:rFonts w:cs="Times New Roman"/>
          <w:color w:val="000000"/>
          <w:sz w:val="24"/>
          <w:szCs w:val="24"/>
        </w:rPr>
        <w:t xml:space="preserve">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 об обстоятельствах, указанных в Договоре, и имеющих существенное значение для его заключения и исполнения.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10"/>
        <w:numPr>
          <w:ilvl w:val="0"/>
          <w:numId w:val="10"/>
        </w:numPr>
        <w:contextualSpacing/>
        <w:ind w:left="0" w:right="0"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признания Договора недействительным по причинам отсутствия необходимых</w:t>
      </w:r>
      <w:r>
        <w:rPr>
          <w:rFonts w:cs="Times New Roman"/>
          <w:sz w:val="24"/>
          <w:szCs w:val="24"/>
        </w:rPr>
        <w:t xml:space="preserve"> корпоративных одобрений у Поставщика;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0"/>
        <w:numPr>
          <w:ilvl w:val="0"/>
          <w:numId w:val="10"/>
        </w:numPr>
        <w:contextualSpacing/>
        <w:ind w:left="0" w:right="0"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предоставления Поставщиком в срок не позднее чем за 30 (тридцать) календарных дней до даты истечения срока действия банковской гарантии новой банковско</w:t>
      </w:r>
      <w:r>
        <w:rPr>
          <w:rFonts w:cs="Times New Roman"/>
          <w:sz w:val="24"/>
          <w:szCs w:val="24"/>
        </w:rPr>
        <w:t xml:space="preserve">й гарантии или изменения к действующей гарантии в части увеличения срока ее действия на новый период, в случаях если срок исполнения обязательств Поставщика по Договору превышает срок действия банковской гарантии либо срок исполнения обязательств продлен. </w:t>
      </w:r>
      <w:r>
        <w:rPr>
          <w:rFonts w:cs="Times New Roman"/>
          <w:color w:val="000000"/>
          <w:sz w:val="24"/>
          <w:szCs w:val="24"/>
        </w:rPr>
        <w:t xml:space="preserve">Вместе с требованием о предъявлении суммы обеспечения к оплате Покупатель направляет Банку-гаранту копию банковской гарантии. </w:t>
      </w:r>
      <w:r>
        <w:rPr>
          <w:rFonts w:eastAsia="Times New Roman" w:cs="Times New Roman"/>
          <w:bCs/>
          <w:sz w:val="24"/>
          <w:szCs w:val="24"/>
        </w:rPr>
        <w:t xml:space="preserve">Банковской гарантией возврата ава</w:t>
      </w:r>
      <w:r>
        <w:rPr>
          <w:rFonts w:eastAsia="Times New Roman" w:cs="Times New Roman"/>
          <w:bCs/>
          <w:sz w:val="24"/>
          <w:szCs w:val="24"/>
        </w:rPr>
        <w:t xml:space="preserve">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Общества, подтверждающего факт осуществления Обществом авансового платежа, с отметкой банка об исполнении.</w:t>
      </w:r>
      <w:r>
        <w:rPr>
          <w:rFonts w:cs="Times New Roman"/>
          <w:sz w:val="24"/>
          <w:szCs w:val="24"/>
        </w:rPr>
        <w:tab/>
        <w:tab/>
        <w:tab/>
        <w:tab/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15"/>
        <w:ind w:left="0" w:right="0" w:firstLine="709"/>
        <w:jc w:val="both"/>
        <w:spacing w:line="240" w:lineRule="auto"/>
        <w:widowControl/>
        <w:tabs>
          <w:tab w:val="left" w:pos="0" w:leader="none"/>
          <w:tab w:val="clear" w:pos="708" w:leader="none"/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Платеж по банковской гарантии осуществляется Банком-гарантом в течение 10 (десяти) рабочих дней после обращения бенефициара (Общества).</w:t>
        <w:tab/>
        <w:tab/>
        <w:tab/>
        <w:tab/>
        <w:tab/>
        <w:tab/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15"/>
        <w:ind w:left="0" w:right="0" w:firstLine="709"/>
        <w:jc w:val="both"/>
        <w:spacing w:line="240" w:lineRule="auto"/>
        <w:widowControl/>
        <w:tabs>
          <w:tab w:val="left" w:pos="0" w:leader="none"/>
          <w:tab w:val="clear" w:pos="708" w:leader="none"/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Сумма банковской гарантии по согласованию с Обществом может быть уменьшена пропорционально сумме выполненных Поставщиком обязательств по Договору.</w:t>
      </w:r>
      <w:r>
        <w:rPr>
          <w:rFonts w:cs="Times New Roman"/>
          <w:sz w:val="24"/>
          <w:szCs w:val="24"/>
        </w:rPr>
        <w:t xml:space="preserve"> </w:t>
        <w:tab/>
        <w:tab/>
        <w:tab/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15"/>
        <w:ind w:left="0" w:right="0" w:firstLine="709"/>
        <w:jc w:val="both"/>
        <w:spacing w:line="240" w:lineRule="auto"/>
        <w:widowControl/>
        <w:tabs>
          <w:tab w:val="left" w:pos="0" w:leader="none"/>
          <w:tab w:val="clear" w:pos="708" w:leader="none"/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Внесение изменений и дополнений в Договор в период срока действия банковской гарантии не освобождает Банк-гарант от обязательств перед бенефициаром по банковской гарантии.</w:t>
      </w:r>
      <w:r>
        <w:rPr>
          <w:rFonts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15"/>
        <w:ind w:left="0" w:right="0" w:firstLine="709"/>
        <w:jc w:val="both"/>
        <w:spacing w:line="240" w:lineRule="auto"/>
        <w:widowControl/>
        <w:tabs>
          <w:tab w:val="left" w:pos="0" w:leader="none"/>
          <w:tab w:val="clear" w:pos="708" w:leader="none"/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Принадлежащее Бенефициару по Гарантии право требования к Банку-гаранту может быть передано новому бенефициару - компании, входящей в Группу РусГидро, с последующим письменным уведомлением Бенефициаром Банка-гаранта о смене Бенефициара по Гарантии.</w:t>
      </w:r>
      <w:r>
        <w:rPr>
          <w:rFonts w:cs="Times New Roman"/>
          <w:sz w:val="24"/>
          <w:szCs w:val="24"/>
        </w:rPr>
        <w:tab/>
        <w:tab/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15"/>
        <w:ind w:left="0" w:right="0" w:firstLine="709"/>
        <w:jc w:val="both"/>
        <w:spacing w:line="240" w:lineRule="auto"/>
        <w:widowControl/>
        <w:tabs>
          <w:tab w:val="left" w:pos="0" w:leader="none"/>
          <w:tab w:val="clear" w:pos="70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Банковская гарантия должна быть подчинена материальному праву Российской Федерации и предусматривать Арбитражный суд Хабаровского края в качестве органа, компетентного разрешать споры из банковской гарантии.</w:t>
      </w:r>
      <w:r>
        <w:rPr>
          <w:rFonts w:cs="Times New Roman"/>
          <w:bCs/>
          <w:sz w:val="24"/>
          <w:szCs w:val="24"/>
        </w:rPr>
        <w:tab/>
        <w:tab/>
        <w:tab/>
        <w:tab/>
        <w:tab/>
        <w:tab/>
      </w:r>
      <w:r>
        <w:rPr>
          <w:rFonts w:eastAsia="Times New Roman" w:cs="Times New Roman"/>
          <w:sz w:val="24"/>
          <w:szCs w:val="24"/>
        </w:rPr>
        <w:t xml:space="preserve">Банковская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15"/>
        <w:ind w:left="0" w:right="0" w:firstLine="709"/>
        <w:jc w:val="both"/>
        <w:widowControl/>
        <w:tabs>
          <w:tab w:val="left" w:pos="0" w:leader="none"/>
          <w:tab w:val="clear" w:pos="70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5"/>
        <w:jc w:val="lef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638" w:type="dxa"/>
        <w:tblInd w:w="10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20"/>
        <w:gridCol w:w="4817"/>
      </w:tblGrid>
      <w:tr>
        <w:tblPrEx/>
        <w:trPr/>
        <w:tc>
          <w:tcPr>
            <w:shd w:val="clear" w:color="ffffff" w:fill="ffffff"/>
            <w:tcW w:w="4820" w:type="dxa"/>
            <w:textDirection w:val="lrTb"/>
            <w:noWrap w:val="false"/>
          </w:tcPr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</w:rPr>
              <w:t xml:space="preserve">Покупатель: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Директор «СП Благовещенская ТЭЦ»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</w:rPr>
              <w:t xml:space="preserve">Поставщик: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4820" w:type="dxa"/>
            <w:textDirection w:val="lrTb"/>
            <w:noWrap w:val="false"/>
          </w:tcPr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А.В. Сазанов</w:t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</w:t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815"/>
        <w:shd w:val="nil" w:color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br w:type="page" w:clear="all"/>
      </w:r>
      <w:r>
        <w:rPr>
          <w:b/>
          <w:bCs/>
          <w:sz w:val="24"/>
          <w:szCs w:val="24"/>
        </w:rPr>
      </w:r>
    </w:p>
    <w:p>
      <w:pPr>
        <w:pStyle w:val="815"/>
        <w:ind w:left="0" w:right="0" w:firstLine="0"/>
        <w:jc w:val="right"/>
        <w:spacing w:before="0" w:after="0" w:line="240" w:lineRule="auto"/>
        <w:widowControl w:val="off"/>
        <w:rPr>
          <w:b w:val="0"/>
          <w:bCs w:val="0"/>
        </w:rPr>
      </w:pPr>
      <w:r>
        <w:rPr>
          <w:rFonts w:eastAsia="Lucida Sans Unicode" w:cs="Times New Roman"/>
          <w:b w:val="0"/>
          <w:bCs w:val="0"/>
          <w:sz w:val="24"/>
          <w:szCs w:val="24"/>
        </w:rPr>
        <w:t xml:space="preserve">Приложение № 3</w:t>
      </w:r>
      <w:r>
        <w:rPr>
          <w:b w:val="0"/>
          <w:bCs w:val="0"/>
        </w:rPr>
      </w:r>
    </w:p>
    <w:p>
      <w:pPr>
        <w:pStyle w:val="815"/>
        <w:ind w:left="0" w:right="0" w:firstLine="0"/>
        <w:jc w:val="right"/>
        <w:rPr>
          <w:b w:val="0"/>
          <w:bCs w:val="0"/>
        </w:rPr>
      </w:pPr>
      <w:r>
        <w:rPr>
          <w:rFonts w:eastAsia="Lucida Sans Unicode" w:cs="Times New Roman"/>
          <w:b w:val="0"/>
          <w:bCs w:val="0"/>
          <w:sz w:val="24"/>
          <w:szCs w:val="24"/>
        </w:rPr>
        <w:t xml:space="preserve">к договору поставки № _____ от _____ г</w:t>
      </w:r>
      <w:r>
        <w:rPr>
          <w:b w:val="0"/>
          <w:bCs w:val="0"/>
        </w:rPr>
      </w:r>
    </w:p>
    <w:p>
      <w:pPr>
        <w:pStyle w:val="815"/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15"/>
        <w:contextualSpacing/>
        <w:jc w:val="center"/>
        <w:spacing w:before="0" w:after="0"/>
        <w:shd w:val="clear" w:color="auto" w:fill="ffffff"/>
        <w:widowControl/>
        <w:tabs>
          <w:tab w:val="clear" w:pos="708" w:leader="none"/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5"/>
        <w:contextualSpacing/>
        <w:jc w:val="center"/>
        <w:spacing w:before="0" w:after="0"/>
        <w:shd w:val="clear" w:color="auto" w:fill="ffffff"/>
        <w:widowControl/>
        <w:tabs>
          <w:tab w:val="clear" w:pos="708" w:leader="none"/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Критерии отбора Банков – Гарантов</w:t>
      </w:r>
      <w:r>
        <w:rPr>
          <w:b/>
          <w:bCs/>
          <w:sz w:val="24"/>
          <w:szCs w:val="24"/>
        </w:rPr>
      </w:r>
    </w:p>
    <w:p>
      <w:pPr>
        <w:pStyle w:val="815"/>
        <w:contextualSpacing/>
        <w:jc w:val="center"/>
        <w:spacing w:before="0" w:after="0"/>
        <w:shd w:val="clear" w:color="auto" w:fill="ffffff"/>
        <w:widowControl/>
        <w:tabs>
          <w:tab w:val="clear" w:pos="708" w:leader="none"/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5"/>
        <w:ind w:firstLine="709"/>
        <w:jc w:val="both"/>
        <w:spacing w:line="247" w:lineRule="auto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Банк-Гарант (кредитная организация), выдающий банковскую гарантию, должен входить в перечень Банков-Гарантов Группы РусГидро</w:t>
      </w:r>
      <w:r>
        <w:rPr>
          <w:rStyle w:val="858"/>
          <w:sz w:val="24"/>
          <w:szCs w:val="24"/>
        </w:rPr>
        <w:footnoteReference w:id="2"/>
      </w:r>
      <w:r>
        <w:rPr>
          <w:sz w:val="24"/>
          <w:szCs w:val="24"/>
        </w:rPr>
        <w:t xml:space="preserve">, а также соответствовать следующим критериям:</w:t>
      </w:r>
      <w:r>
        <w:rPr>
          <w:sz w:val="24"/>
          <w:szCs w:val="24"/>
        </w:rPr>
      </w:r>
    </w:p>
    <w:p>
      <w:pPr>
        <w:pStyle w:val="815"/>
        <w:numPr>
          <w:ilvl w:val="1"/>
          <w:numId w:val="2"/>
        </w:numPr>
        <w:ind w:left="0" w:firstLine="710"/>
        <w:jc w:val="both"/>
        <w:spacing w:line="247" w:lineRule="auto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действующую лицензию Центрального банка Российской Федерации (далее – ЦБ РФ), разрешающую выдачу банковских гарантий. При этом лицензия не должна быть приостановлена полностью или частично.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2"/>
        </w:numPr>
        <w:ind w:left="0" w:firstLine="710"/>
        <w:jc w:val="both"/>
        <w:spacing w:line="247" w:lineRule="auto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Присутствовать в Перечне кредитных организаций, соответствующих</w:t>
      </w:r>
      <w:r>
        <w:rPr>
          <w:sz w:val="24"/>
          <w:szCs w:val="24"/>
        </w:rPr>
        <w:t xml:space="preserve"> требованиям, установленным ч. 1 ст. 2 Федерального закона от 21.07.2014 № 213-ФЗ «Об открытии банковских счетов и аккредитивов, о заключении договоров банковского вклада, договора на ведение реестра владельцев ценных бумаг хозяйственными обществами, имеющ</w:t>
      </w:r>
      <w:r>
        <w:rPr>
          <w:sz w:val="24"/>
          <w:szCs w:val="24"/>
        </w:rPr>
        <w:t xml:space="preserve">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 (далее – 213-ФЗ) или иным документом, его заменяющим (в случае отмены 213-ФЗ).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2"/>
        </w:numPr>
        <w:ind w:left="0" w:firstLine="710"/>
        <w:jc w:val="both"/>
        <w:spacing w:line="247" w:lineRule="auto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собственные средства (капитал) в размере не менее 30 млрд. рублей на 01 января</w:t>
      </w:r>
      <w:r>
        <w:rPr>
          <w:sz w:val="24"/>
          <w:szCs w:val="24"/>
        </w:rPr>
        <w:t xml:space="preserve"> текущего календарного года, опубликованного на официальном сайте ЦБ РФ в информационно-телекоммуникационной сети «Интернет» (www.cbr.ru) по строке 000 «Расчет собственных средств (капитала) («Базель III»)», код формы 0409123 и рассчитанного в соответствии</w:t>
      </w:r>
      <w:r>
        <w:rPr>
          <w:sz w:val="24"/>
          <w:szCs w:val="24"/>
        </w:rPr>
        <w:t xml:space="preserve"> с Положением Банка России от 04.07.2018 № 646-П «О методике определения собственных средств (капитала) кредитных организаций («Базель III»)» (далее – Методика ЦБ РФ) или иным документом, его заменяющим (в случае изменения или отмены указанного Положения).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2"/>
        </w:numPr>
        <w:ind w:left="0" w:firstLine="710"/>
        <w:jc w:val="both"/>
        <w:spacing w:line="247" w:lineRule="auto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кредитный рейтинг по национальной шкале не ниже уровня «BBB» рейтингового агентства АКРА или не ниже уровня «ruBBB» рейтингового агентства Эксперт РА. В случае отсутствия у кредитной организации рейтинга АКРА или Эксперт РА, кр</w:t>
      </w:r>
      <w:r>
        <w:rPr>
          <w:sz w:val="24"/>
          <w:szCs w:val="24"/>
        </w:rPr>
        <w:t xml:space="preserve">едитная организация должна иметь рейтинг долгосрочной кредитоспособности не ниже уровня «ВВ» по классификации рейтинговых агентств «Fitch-Ratings» или «Standard &amp; Poor's» либо уровня «Bа2» по классификации рейтингового агентства «Moody's Investors Service»</w:t>
      </w:r>
      <w:r>
        <w:rPr>
          <w:rStyle w:val="858"/>
          <w:sz w:val="24"/>
          <w:szCs w:val="24"/>
        </w:rPr>
        <w:footnoteReference w:id="3"/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</w:p>
    <w:p>
      <w:pPr>
        <w:pStyle w:val="815"/>
        <w:numPr>
          <w:ilvl w:val="1"/>
          <w:numId w:val="2"/>
        </w:numPr>
        <w:ind w:left="0" w:firstLine="710"/>
        <w:jc w:val="both"/>
        <w:spacing w:line="247" w:lineRule="auto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Участвовать в системе обязательного страхования вкладов в банках Российской Федерации в соответствии с Федеральным законом от 23.12.2003 № 177-ФЗ «О страховании вкладов в банках Российской Федерации»</w:t>
      </w:r>
      <w:r>
        <w:rPr>
          <w:rStyle w:val="858"/>
          <w:sz w:val="24"/>
          <w:szCs w:val="24"/>
        </w:rPr>
        <w:footnoteReference w:id="4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2"/>
        </w:numPr>
        <w:ind w:left="0" w:firstLine="710"/>
        <w:jc w:val="both"/>
        <w:spacing w:line="247" w:lineRule="auto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находиться в пр</w:t>
      </w:r>
      <w:r>
        <w:rPr>
          <w:sz w:val="24"/>
          <w:szCs w:val="24"/>
        </w:rPr>
        <w:t xml:space="preserve">оцессе финансового оздоровления (санации), а также в Реестре банков, находящихся в процессе финансового оздоровления (опубликован в разделе «Оздоровление банков» сайта Государственной корпорации «Агентство по страхованию вкладов» (http://www.asv.org.ru))».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2"/>
        </w:numPr>
        <w:ind w:left="0" w:firstLine="710"/>
        <w:jc w:val="both"/>
        <w:spacing w:line="247" w:lineRule="auto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иметь просроченную задолженность перед Обществом и компаниями Группы РусГидро.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2"/>
        </w:numPr>
        <w:ind w:left="0" w:firstLine="710"/>
        <w:jc w:val="both"/>
        <w:spacing w:line="247" w:lineRule="auto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Присутствовать (иметь отделение, филиал) по месту нахождения Общества, его обособленного подразделения или структурного подразделения, для нужд которого заключается Договор.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2"/>
        </w:numPr>
        <w:ind w:left="0" w:firstLine="710"/>
        <w:jc w:val="both"/>
        <w:spacing w:line="247" w:lineRule="auto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Требования, установленные пунктами 2 – 4 настоящих Критериев, не распространяются на кредитные организации:</w:t>
      </w:r>
      <w:r>
        <w:rPr>
          <w:sz w:val="24"/>
          <w:szCs w:val="24"/>
        </w:rPr>
      </w:r>
    </w:p>
    <w:p>
      <w:pPr>
        <w:pStyle w:val="815"/>
        <w:numPr>
          <w:ilvl w:val="1"/>
          <w:numId w:val="3"/>
        </w:numPr>
        <w:ind w:left="0" w:firstLine="709"/>
        <w:jc w:val="both"/>
        <w:spacing w:line="247" w:lineRule="auto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отношении которых или в отношении лиц, под контролем либо значительным влиянием которых находятся кредитные организации, по состоянию на 01.01.2015 действуют международные санкции, и кредитные организации определены отдельным решени</w:t>
      </w:r>
      <w:r>
        <w:rPr>
          <w:sz w:val="24"/>
          <w:szCs w:val="24"/>
        </w:rPr>
        <w:t xml:space="preserve">ем Правительства Российской Федерации в качестве уполномоченной кредитной организации,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24.12.2011 № 1121</w:t>
      </w:r>
      <w:r>
        <w:rPr>
          <w:sz w:val="24"/>
          <w:szCs w:val="24"/>
        </w:rPr>
        <w:t xml:space="preserve"> «О порядке размещения средств федерального бюджета,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депозитах».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3"/>
        </w:numPr>
        <w:ind w:left="0" w:firstLine="709"/>
        <w:jc w:val="both"/>
        <w:spacing w:line="247" w:lineRule="auto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Основной целью деятельности которых является реализация программ поддержки малого и среднего предпринимательства в соответст</w:t>
      </w:r>
      <w:r>
        <w:rPr>
          <w:sz w:val="24"/>
          <w:szCs w:val="24"/>
        </w:rPr>
        <w:t xml:space="preserve">вии с Федеральным законом от 24.07.2007 № 209-ФЗ «О развитии малого и среднего предпринимательства в Российской Федерации» и Указом Президента Российской Федерации от 05.06.2015 № 287 «О мерах по дальнейшему развитию малого и среднего предпринимательства».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3"/>
        </w:numPr>
        <w:ind w:left="0" w:firstLine="709"/>
        <w:jc w:val="both"/>
        <w:spacing w:line="247" w:lineRule="auto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Утвержденную Наблюдательным советом Асс</w:t>
      </w:r>
      <w:r>
        <w:rPr>
          <w:sz w:val="24"/>
          <w:szCs w:val="24"/>
        </w:rPr>
        <w:t xml:space="preserve">оциации «Некоммерческое партнерство Совет рынка по организации эффективной системы оптовой и розничной торговли электрической энергией и мощностью» в качестве уполномоченной кредитной организации, ответственной за проведение расчетов между субъектами ОРЭМ.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3"/>
        </w:numPr>
        <w:ind w:left="0" w:firstLine="709"/>
        <w:jc w:val="both"/>
        <w:spacing w:line="247" w:lineRule="auto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ВЭБ.РФ.</w:t>
      </w:r>
      <w:r>
        <w:rPr>
          <w:sz w:val="24"/>
          <w:szCs w:val="24"/>
        </w:rPr>
      </w:r>
    </w:p>
    <w:p>
      <w:pPr>
        <w:pStyle w:val="815"/>
        <w:numPr>
          <w:ilvl w:val="1"/>
          <w:numId w:val="2"/>
        </w:numPr>
        <w:ind w:left="0" w:firstLine="710"/>
        <w:jc w:val="both"/>
        <w:spacing w:line="247" w:lineRule="auto"/>
        <w:widowControl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Максимальная сумма всех одновременно действующих банковских гарантий, выданных одной кредитной организацией, обеспечивающих обязательства контрагента перед Группой РусГидро, не должна превышать размер лимита риска, определяемого по формуле:</w:t>
      </w:r>
      <w:r>
        <w:rPr>
          <w:sz w:val="24"/>
          <w:szCs w:val="24"/>
        </w:rPr>
      </w:r>
    </w:p>
    <w:p>
      <w:pPr>
        <w:pStyle w:val="815"/>
        <w:ind w:firstLine="709"/>
        <w:jc w:val="center"/>
        <w:spacing w:line="247" w:lineRule="auto"/>
        <w:tabs>
          <w:tab w:val="clear" w:pos="708" w:leader="none"/>
          <w:tab w:val="left" w:pos="1134" w:leader="none"/>
        </w:tabs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Lim</w:t>
      </w:r>
      <w:r>
        <w:rPr>
          <w:b/>
          <w:i/>
          <w:sz w:val="24"/>
          <w:szCs w:val="24"/>
          <w:vertAlign w:val="subscript"/>
        </w:rPr>
        <w:t xml:space="preserve">Ai</w:t>
      </w:r>
      <w:r>
        <w:rPr>
          <w:b/>
          <w:i/>
          <w:sz w:val="24"/>
          <w:szCs w:val="24"/>
        </w:rPr>
        <w:t xml:space="preserve">  = r</w:t>
      </w:r>
      <w:r>
        <w:rPr>
          <w:b/>
          <w:i/>
          <w:sz w:val="24"/>
          <w:szCs w:val="24"/>
          <w:vertAlign w:val="subscript"/>
        </w:rPr>
        <w:t xml:space="preserve">i</w:t>
      </w:r>
      <w:r>
        <w:rPr>
          <w:b/>
          <w:i/>
          <w:sz w:val="24"/>
          <w:szCs w:val="24"/>
        </w:rPr>
        <w:t xml:space="preserve"> × СK</w:t>
      </w:r>
      <w:r>
        <w:rPr>
          <w:b/>
          <w:i/>
          <w:sz w:val="24"/>
          <w:szCs w:val="24"/>
          <w:vertAlign w:val="subscript"/>
        </w:rPr>
        <w:t xml:space="preserve">i</w:t>
      </w:r>
      <w:r>
        <w:rPr>
          <w:sz w:val="24"/>
          <w:szCs w:val="24"/>
        </w:rPr>
        <w:t xml:space="preserve">, где</w:t>
      </w:r>
      <w:r>
        <w:rPr>
          <w:sz w:val="24"/>
          <w:szCs w:val="24"/>
        </w:rPr>
      </w:r>
    </w:p>
    <w:tbl>
      <w:tblPr>
        <w:tblW w:w="9606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817"/>
        <w:gridCol w:w="280"/>
        <w:gridCol w:w="8509"/>
      </w:tblGrid>
      <w:tr>
        <w:tblPrEx/>
        <w:trPr>
          <w:trHeight w:val="426"/>
        </w:trPr>
        <w:tc>
          <w:tcPr>
            <w:shd w:val="clear" w:color="ffffff" w:fill="ffffff"/>
            <w:tcW w:w="817" w:type="dxa"/>
            <w:textDirection w:val="lrTb"/>
            <w:noWrap w:val="false"/>
          </w:tcPr>
          <w:p>
            <w:pPr>
              <w:pStyle w:val="815"/>
              <w:ind w:right="-108" w:firstLine="0"/>
              <w:jc w:val="both"/>
              <w:spacing w:line="247" w:lineRule="auto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Lim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  <w:lang w:val="en-US"/>
              </w:rPr>
              <w:t xml:space="preserve">Ai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280" w:type="dxa"/>
            <w:textDirection w:val="lrTb"/>
            <w:noWrap w:val="false"/>
          </w:tcPr>
          <w:p>
            <w:pPr>
              <w:pStyle w:val="815"/>
              <w:ind w:left="317" w:right="-108" w:hanging="317"/>
              <w:jc w:val="both"/>
              <w:spacing w:line="247" w:lineRule="auto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9" w:type="dxa"/>
            <w:textDirection w:val="lrTb"/>
            <w:noWrap w:val="false"/>
          </w:tcPr>
          <w:p>
            <w:pPr>
              <w:pStyle w:val="815"/>
              <w:ind w:left="-75" w:right="-108" w:firstLine="0"/>
              <w:jc w:val="both"/>
              <w:spacing w:line="247" w:lineRule="auto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Лимит риска для i-ой кредитной организации</w:t>
            </w:r>
            <w:r>
              <w:rPr>
                <w:rStyle w:val="858"/>
                <w:sz w:val="24"/>
                <w:szCs w:val="24"/>
                <w:vertAlign w:val="superscript"/>
              </w:rPr>
              <w:footnoteReference w:id="5"/>
            </w:r>
            <w:r>
              <w:rPr>
                <w:sz w:val="24"/>
                <w:szCs w:val="24"/>
                <w:vertAlign w:val="superscript"/>
              </w:rPr>
              <w:t xml:space="preserve">.</w:t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80"/>
        </w:trPr>
        <w:tc>
          <w:tcPr>
            <w:shd w:val="clear" w:color="ffffff" w:fill="ffffff"/>
            <w:tcW w:w="817" w:type="dxa"/>
            <w:textDirection w:val="lrTb"/>
            <w:noWrap w:val="false"/>
          </w:tcPr>
          <w:p>
            <w:pPr>
              <w:pStyle w:val="815"/>
              <w:ind w:right="-108" w:firstLine="0"/>
              <w:jc w:val="both"/>
              <w:spacing w:line="247" w:lineRule="auto"/>
              <w:widowControl w:val="off"/>
              <w:rPr>
                <w:b/>
                <w:i/>
                <w:color w:val="000000"/>
                <w:sz w:val="24"/>
                <w:szCs w:val="24"/>
                <w:vertAlign w:val="subscript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С</w:t>
            </w:r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 xml:space="preserve">K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  <w:lang w:val="en-US"/>
              </w:rPr>
              <w:t xml:space="preserve">i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</w:rPr>
            </w:r>
          </w:p>
          <w:p>
            <w:pPr>
              <w:pStyle w:val="815"/>
              <w:ind w:right="-108" w:firstLine="0"/>
              <w:jc w:val="both"/>
              <w:spacing w:line="247" w:lineRule="auto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280" w:type="dxa"/>
            <w:textDirection w:val="lrTb"/>
            <w:noWrap w:val="false"/>
          </w:tcPr>
          <w:p>
            <w:pPr>
              <w:pStyle w:val="815"/>
              <w:ind w:right="-108" w:firstLine="0"/>
              <w:jc w:val="both"/>
              <w:spacing w:line="247" w:lineRule="auto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9" w:type="dxa"/>
            <w:textDirection w:val="lrTb"/>
            <w:noWrap w:val="false"/>
          </w:tcPr>
          <w:p>
            <w:pPr>
              <w:pStyle w:val="815"/>
              <w:ind w:left="-75" w:right="-108" w:firstLine="0"/>
              <w:jc w:val="both"/>
              <w:spacing w:line="247" w:lineRule="auto"/>
              <w:widowControl w:val="o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 собственных средств (капитала) i-ой кредитной организации на 01 января текущего календарного года, опубликованный на официальном сайте ЦБ РФ в информационно-телекоммуникационной сети «Интернет» (</w:t>
            </w:r>
            <w:hyperlink r:id="rId23" w:tooltip="http://www.cbr.ru/" w:history="1">
              <w:r>
                <w:rPr>
                  <w:sz w:val="24"/>
                  <w:szCs w:val="24"/>
                  <w:u w:val="single"/>
                </w:rPr>
                <w:t xml:space="preserve">www.cbr.ru</w:t>
              </w:r>
            </w:hyperlink>
            <w:r>
              <w:rPr>
                <w:sz w:val="24"/>
                <w:szCs w:val="24"/>
              </w:rPr>
              <w:t xml:space="preserve">) по строке 000 «Расчет собственных средств (капитала) («Базель III»)», код формы 0409123;</w:t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993"/>
        </w:trPr>
        <w:tc>
          <w:tcPr>
            <w:tcW w:w="817" w:type="dxa"/>
            <w:textDirection w:val="lrTb"/>
            <w:noWrap w:val="false"/>
          </w:tcPr>
          <w:p>
            <w:pPr>
              <w:pStyle w:val="815"/>
              <w:ind w:right="-108" w:firstLine="0"/>
              <w:jc w:val="both"/>
              <w:spacing w:line="247" w:lineRule="auto"/>
              <w:widowControl w:val="off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r</w:t>
            </w:r>
            <w:r>
              <w:rPr>
                <w:b/>
                <w:i/>
                <w:color w:val="000000"/>
                <w:sz w:val="24"/>
                <w:szCs w:val="24"/>
                <w:vertAlign w:val="subscript"/>
              </w:rPr>
              <w:t xml:space="preserve">i</w:t>
            </w:r>
            <w:r>
              <w:rPr>
                <w:b/>
                <w:i/>
                <w:color w:val="000000"/>
                <w:sz w:val="24"/>
                <w:szCs w:val="24"/>
              </w:rPr>
            </w:r>
          </w:p>
        </w:tc>
        <w:tc>
          <w:tcPr>
            <w:tcW w:w="280" w:type="dxa"/>
            <w:textDirection w:val="lrTb"/>
            <w:noWrap w:val="false"/>
          </w:tcPr>
          <w:p>
            <w:pPr>
              <w:pStyle w:val="815"/>
              <w:ind w:right="-108" w:firstLine="0"/>
              <w:jc w:val="both"/>
              <w:spacing w:line="247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  <w:tc>
          <w:tcPr>
            <w:tcW w:w="8509" w:type="dxa"/>
            <w:textDirection w:val="lrTb"/>
            <w:noWrap w:val="false"/>
          </w:tcPr>
          <w:p>
            <w:pPr>
              <w:pStyle w:val="815"/>
              <w:ind w:right="-108" w:firstLine="0"/>
              <w:jc w:val="both"/>
              <w:spacing w:line="247" w:lineRule="auto"/>
              <w:widowControl w:val="off"/>
              <w:tabs>
                <w:tab w:val="clear" w:pos="708" w:leader="none"/>
                <w:tab w:val="left" w:pos="713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рейтинговый коэффициент</w:t>
            </w:r>
            <w:r>
              <w:rPr>
                <w:rStyle w:val="858"/>
                <w:sz w:val="24"/>
                <w:szCs w:val="24"/>
              </w:rPr>
              <w:footnoteReference w:id="6"/>
            </w:r>
            <w:r>
              <w:rPr>
                <w:sz w:val="24"/>
                <w:szCs w:val="24"/>
              </w:rPr>
              <w:t xml:space="preserve"> для i-ой кредитной организации, равный:</w:t>
            </w:r>
            <w:r>
              <w:rPr>
                <w:sz w:val="24"/>
                <w:szCs w:val="24"/>
              </w:rPr>
            </w:r>
          </w:p>
          <w:p>
            <w:pPr>
              <w:pStyle w:val="815"/>
              <w:ind w:firstLine="492"/>
              <w:jc w:val="both"/>
              <w:spacing w:line="247" w:lineRule="auto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0,05</w:t>
            </w:r>
            <w:r>
              <w:rPr>
                <w:sz w:val="24"/>
                <w:szCs w:val="24"/>
              </w:rPr>
              <w:t xml:space="preserve"> - если i-ая кредитная организация имеет национальный рейтинг кредитоспособности не ниже уровня </w:t>
            </w:r>
            <w:r>
              <w:rPr>
                <w:b/>
                <w:sz w:val="24"/>
                <w:szCs w:val="24"/>
              </w:rPr>
              <w:t xml:space="preserve">«АА-»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АКРА или не ниже уровня </w:t>
            </w:r>
            <w:r>
              <w:rPr>
                <w:b/>
                <w:sz w:val="24"/>
                <w:szCs w:val="24"/>
              </w:rPr>
              <w:t xml:space="preserve">«</w:t>
            </w:r>
            <w:r>
              <w:rPr>
                <w:b/>
                <w:sz w:val="24"/>
                <w:szCs w:val="24"/>
                <w:lang w:val="en-US"/>
              </w:rPr>
              <w:t xml:space="preserve">ru</w:t>
            </w:r>
            <w:r>
              <w:rPr>
                <w:b/>
                <w:sz w:val="24"/>
                <w:szCs w:val="24"/>
              </w:rPr>
              <w:t xml:space="preserve">А</w:t>
            </w:r>
            <w:r>
              <w:rPr>
                <w:b/>
                <w:sz w:val="24"/>
                <w:szCs w:val="24"/>
                <w:lang w:val="en-US"/>
              </w:rPr>
              <w:t xml:space="preserve">A</w:t>
            </w:r>
            <w:r>
              <w:rPr>
                <w:b/>
                <w:sz w:val="24"/>
                <w:szCs w:val="24"/>
              </w:rPr>
              <w:t xml:space="preserve">-»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Эксперт РА;</w:t>
            </w:r>
            <w:r>
              <w:rPr>
                <w:sz w:val="24"/>
                <w:szCs w:val="24"/>
              </w:rPr>
            </w:r>
          </w:p>
          <w:p>
            <w:pPr>
              <w:pStyle w:val="815"/>
              <w:ind w:left="67" w:firstLine="425"/>
              <w:jc w:val="both"/>
              <w:spacing w:line="247" w:lineRule="auto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0,025</w:t>
            </w:r>
            <w:r>
              <w:rPr>
                <w:sz w:val="24"/>
                <w:szCs w:val="24"/>
              </w:rPr>
              <w:t xml:space="preserve"> - если i-ая кредитная организация имеет национальный рейтинг кредитоспособности не ниже уровня </w:t>
            </w:r>
            <w:r>
              <w:rPr>
                <w:b/>
                <w:sz w:val="24"/>
                <w:szCs w:val="24"/>
              </w:rPr>
              <w:t xml:space="preserve">«А-»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АКРА или не ниже уровня </w:t>
            </w:r>
            <w:r>
              <w:rPr>
                <w:b/>
                <w:sz w:val="24"/>
                <w:szCs w:val="24"/>
              </w:rPr>
              <w:t xml:space="preserve">«ruA-»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Эксперт РА;</w:t>
            </w:r>
            <w:r>
              <w:rPr>
                <w:sz w:val="24"/>
                <w:szCs w:val="24"/>
              </w:rPr>
            </w:r>
          </w:p>
          <w:p>
            <w:pPr>
              <w:pStyle w:val="815"/>
              <w:ind w:firstLine="492"/>
              <w:jc w:val="both"/>
              <w:spacing w:line="247" w:lineRule="auto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0,015</w:t>
            </w:r>
            <w:r>
              <w:rPr>
                <w:sz w:val="24"/>
                <w:szCs w:val="24"/>
              </w:rPr>
              <w:t xml:space="preserve"> - если i-ая кредитная организация имеет национальный рейтинг кредитоспособности не ниже уровня </w:t>
            </w:r>
            <w:r>
              <w:rPr>
                <w:b/>
                <w:sz w:val="24"/>
                <w:szCs w:val="24"/>
              </w:rPr>
              <w:t xml:space="preserve">«</w:t>
            </w:r>
            <w:r>
              <w:rPr>
                <w:b/>
                <w:sz w:val="24"/>
                <w:szCs w:val="24"/>
                <w:lang w:val="en-US"/>
              </w:rPr>
              <w:t xml:space="preserve">BB</w:t>
            </w:r>
            <w:r>
              <w:rPr>
                <w:b/>
                <w:sz w:val="24"/>
                <w:szCs w:val="24"/>
              </w:rPr>
              <w:t xml:space="preserve">В»</w:t>
            </w:r>
            <w:r>
              <w:rPr>
                <w:sz w:val="24"/>
                <w:szCs w:val="24"/>
              </w:rPr>
              <w:t xml:space="preserve"> по классификации рейтингового агентства АКРА или не ниже уровня «</w:t>
            </w:r>
            <w:r>
              <w:rPr>
                <w:sz w:val="24"/>
                <w:szCs w:val="24"/>
                <w:lang w:val="en-US"/>
              </w:rPr>
              <w:t xml:space="preserve">ruBB</w:t>
            </w:r>
            <w:r>
              <w:rPr>
                <w:sz w:val="24"/>
                <w:szCs w:val="24"/>
              </w:rPr>
              <w:t xml:space="preserve">В» по классификации рейтингового агентства Эксперт РА, а также находится в процессе финансового оздоровления (санации).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15"/>
        <w:ind w:firstLine="709"/>
        <w:jc w:val="both"/>
        <w:spacing w:line="247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79"/>
        <w:numPr>
          <w:ilvl w:val="0"/>
          <w:numId w:val="0"/>
        </w:numPr>
        <w:ind w:left="0" w:firstLine="567"/>
        <w:jc w:val="right"/>
        <w:spacing w:before="0" w:after="0" w:line="247" w:lineRule="auto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5"/>
        <w:numPr>
          <w:ilvl w:val="0"/>
          <w:numId w:val="0"/>
        </w:numPr>
        <w:ind w:left="0" w:firstLine="0"/>
        <w:jc w:val="center"/>
        <w:spacing w:line="247" w:lineRule="auto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638" w:type="dxa"/>
        <w:tblInd w:w="10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20"/>
        <w:gridCol w:w="4817"/>
      </w:tblGrid>
      <w:tr>
        <w:tblPrEx/>
        <w:trPr/>
        <w:tc>
          <w:tcPr>
            <w:shd w:val="clear" w:color="ffffff" w:fill="ffffff"/>
            <w:tcW w:w="4820" w:type="dxa"/>
            <w:textDirection w:val="lrTb"/>
            <w:noWrap w:val="false"/>
          </w:tcPr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</w:rPr>
              <w:t xml:space="preserve">Покупатель: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Директор «СП Благовещенская ТЭЦ»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</w:rPr>
              <w:t xml:space="preserve">Поставщик: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4820" w:type="dxa"/>
            <w:textDirection w:val="lrTb"/>
            <w:noWrap w:val="false"/>
          </w:tcPr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А.В. Сазанов</w:t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</w:t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815"/>
        <w:spacing w:line="259" w:lineRule="auto"/>
        <w:widowControl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5"/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15"/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15"/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15"/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15"/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15"/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15"/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15"/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15"/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15"/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15"/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15"/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15"/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15"/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pStyle w:val="815"/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  <w:highlight w:val="none"/>
        </w:rPr>
      </w:r>
    </w:p>
    <w:p>
      <w:pPr>
        <w:ind w:left="0" w:right="0" w:firstLine="0"/>
        <w:jc w:val="right"/>
        <w:spacing w:before="0" w:after="0" w:line="240" w:lineRule="auto"/>
        <w:widowControl w:val="off"/>
        <w:rPr>
          <w:b w:val="0"/>
          <w:bCs w:val="0"/>
        </w:rPr>
      </w:pPr>
      <w:r>
        <w:rPr>
          <w:rFonts w:eastAsia="Lucida Sans Unicode" w:cs="Times New Roman"/>
          <w:b w:val="0"/>
          <w:bCs w:val="0"/>
          <w:sz w:val="24"/>
          <w:szCs w:val="24"/>
          <w:highlight w:val="none"/>
        </w:rPr>
      </w:r>
      <w:r>
        <w:rPr>
          <w:rFonts w:eastAsia="Lucida Sans Unicode" w:cs="Times New Roman"/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jc w:val="right"/>
        <w:spacing w:before="0" w:after="0" w:line="240" w:lineRule="auto"/>
        <w:widowControl w:val="off"/>
        <w:rPr>
          <w:rFonts w:eastAsia="Lucida Sans Unicode" w:cs="Times New Roman"/>
          <w:b w:val="0"/>
          <w:bCs w:val="0"/>
          <w:sz w:val="24"/>
          <w:szCs w:val="24"/>
          <w:highlight w:val="none"/>
        </w:rPr>
      </w:pPr>
      <w:r>
        <w:rPr>
          <w:rFonts w:eastAsia="Lucida Sans Unicode" w:cs="Times New Roman"/>
          <w:b w:val="0"/>
          <w:bCs w:val="0"/>
          <w:sz w:val="24"/>
          <w:szCs w:val="24"/>
          <w:highlight w:val="none"/>
        </w:rPr>
      </w:r>
      <w:r>
        <w:rPr>
          <w:rFonts w:eastAsia="Lucida Sans Unicode" w:cs="Times New Roman"/>
          <w:b w:val="0"/>
          <w:bCs w:val="0"/>
          <w:sz w:val="24"/>
          <w:szCs w:val="24"/>
          <w:highlight w:val="none"/>
        </w:rPr>
      </w:r>
    </w:p>
    <w:p>
      <w:pPr>
        <w:pStyle w:val="815"/>
        <w:ind w:left="0" w:right="0" w:firstLine="0"/>
        <w:jc w:val="right"/>
        <w:spacing w:before="0" w:after="0" w:line="240" w:lineRule="auto"/>
        <w:widowControl w:val="off"/>
        <w:rPr>
          <w:rFonts w:eastAsia="Lucida Sans Unicode" w:cs="Times New Roman"/>
          <w:b w:val="0"/>
          <w:bCs w:val="0"/>
          <w:sz w:val="24"/>
          <w:szCs w:val="24"/>
          <w:highlight w:val="none"/>
        </w:rPr>
      </w:pPr>
      <w:r>
        <w:rPr>
          <w:rFonts w:eastAsia="Lucida Sans Unicode" w:cs="Times New Roman"/>
          <w:b w:val="0"/>
          <w:bCs w:val="0"/>
          <w:sz w:val="24"/>
          <w:szCs w:val="24"/>
        </w:rPr>
        <w:t xml:space="preserve">Приложение № 4</w:t>
      </w:r>
      <w:r>
        <w:rPr>
          <w:rFonts w:eastAsia="Lucida Sans Unicode" w:cs="Times New Roman"/>
          <w:b w:val="0"/>
          <w:bCs w:val="0"/>
          <w:sz w:val="24"/>
          <w:szCs w:val="24"/>
          <w:highlight w:val="none"/>
        </w:rPr>
      </w:r>
    </w:p>
    <w:p>
      <w:pPr>
        <w:pStyle w:val="815"/>
        <w:ind w:left="0" w:right="0" w:firstLine="0"/>
        <w:jc w:val="right"/>
        <w:rPr>
          <w:b w:val="0"/>
          <w:bCs w:val="0"/>
        </w:rPr>
      </w:pPr>
      <w:r>
        <w:rPr>
          <w:rFonts w:eastAsia="Lucida Sans Unicode" w:cs="Times New Roman"/>
          <w:b w:val="0"/>
          <w:bCs w:val="0"/>
          <w:sz w:val="24"/>
          <w:szCs w:val="24"/>
        </w:rPr>
        <w:t xml:space="preserve">к договору поставки № _____ от _____  г</w:t>
      </w:r>
      <w:r>
        <w:rPr>
          <w:b w:val="0"/>
          <w:bCs w:val="0"/>
        </w:rPr>
      </w:r>
    </w:p>
    <w:p>
      <w:pPr>
        <w:pStyle w:val="815"/>
        <w:ind w:firstLine="482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15"/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Акт приема передачи банковской гарантии по Договору  </w:t>
      </w:r>
      <w:r>
        <w:rPr>
          <w:sz w:val="32"/>
          <w:szCs w:val="32"/>
          <w:lang w:val="ru-RU"/>
        </w:rPr>
      </w:r>
    </w:p>
    <w:p>
      <w:pPr>
        <w:pStyle w:val="815"/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(форма)</w:t>
      </w:r>
      <w:r>
        <w:rPr>
          <w:sz w:val="32"/>
          <w:szCs w:val="32"/>
          <w:lang w:val="ru-RU"/>
        </w:rPr>
      </w:r>
    </w:p>
    <w:p>
      <w:pPr>
        <w:pStyle w:val="815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г. Хабаровск                                                 </w:t>
        <w:tab/>
        <w:tab/>
        <w:tab/>
        <w:t xml:space="preserve">           «_____»_________20___ г.</w:t>
      </w:r>
      <w:r>
        <w:rPr>
          <w:sz w:val="32"/>
          <w:szCs w:val="32"/>
          <w:lang w:val="ru-RU"/>
        </w:rPr>
      </w:r>
    </w:p>
    <w:p>
      <w:pPr>
        <w:pStyle w:val="815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815"/>
        <w:ind w:firstLine="851"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Мы, нижеподписавшиеся, ____ «________________» </w:t>
      </w:r>
      <w:r>
        <w:rPr>
          <w:i/>
          <w:sz w:val="24"/>
          <w:szCs w:val="24"/>
          <w:lang w:val="ru-RU"/>
        </w:rPr>
        <w:t xml:space="preserve">(указать наименование контрагента)</w:t>
      </w:r>
      <w:r>
        <w:rPr>
          <w:sz w:val="24"/>
          <w:szCs w:val="24"/>
          <w:lang w:val="ru-RU"/>
        </w:rPr>
        <w:t xml:space="preserve"> в лице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(далее – Сторона 1), и представитель АО «ДГК» в лице 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(далее – Сторона 2), подписали настоящий акт в двух экземплярах о том, что Сторона 1 передала, а Сторона 2 приняла оригинал банковской (-их) гарантии (-й), выданной (-ых) ___________ (</w:t>
      </w:r>
      <w:r>
        <w:rPr>
          <w:i/>
          <w:sz w:val="24"/>
          <w:szCs w:val="24"/>
          <w:lang w:val="ru-RU"/>
        </w:rPr>
        <w:t xml:space="preserve">наименование банка, выдавшего БГ</w:t>
      </w:r>
      <w:r>
        <w:rPr>
          <w:sz w:val="24"/>
          <w:szCs w:val="24"/>
          <w:lang w:val="ru-RU"/>
        </w:rPr>
        <w:t xml:space="preserve">) со следующими реквизитами:</w:t>
      </w:r>
      <w:r>
        <w:rPr>
          <w:sz w:val="32"/>
          <w:szCs w:val="32"/>
          <w:lang w:val="ru-RU"/>
        </w:rPr>
      </w:r>
    </w:p>
    <w:p>
      <w:pPr>
        <w:pStyle w:val="815"/>
        <w:ind w:firstLine="851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tbl>
      <w:tblPr>
        <w:tblW w:w="9637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0"/>
        <w:gridCol w:w="1732"/>
        <w:gridCol w:w="1136"/>
        <w:gridCol w:w="990"/>
        <w:gridCol w:w="1001"/>
        <w:gridCol w:w="2008"/>
        <w:gridCol w:w="1247"/>
        <w:gridCol w:w="991"/>
      </w:tblGrid>
      <w:tr>
        <w:tblPrEx/>
        <w:trPr>
          <w:trHeight w:val="85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0" w:type="dxa"/>
            <w:textDirection w:val="lrTb"/>
            <w:noWrap w:val="false"/>
          </w:tcPr>
          <w:p>
            <w:pPr>
              <w:pStyle w:val="815"/>
              <w:jc w:val="center"/>
              <w:widowControl w:val="off"/>
            </w:pPr>
            <w:r>
              <w:t xml:space="preserve">№</w:t>
            </w:r>
            <w:r/>
          </w:p>
          <w:p>
            <w:pPr>
              <w:pStyle w:val="815"/>
              <w:jc w:val="center"/>
              <w:widowControl w:val="off"/>
            </w:pPr>
            <w:r>
              <w:t xml:space="preserve">п/п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Реквизиты обеспечиваемого обязательства (Договора, от №)</w:t>
            </w:r>
            <w:r>
              <w:rPr>
                <w:sz w:val="22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6" w:type="dxa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sz w:val="22"/>
              </w:rPr>
            </w:pPr>
            <w:r>
              <w:rPr>
                <w:sz w:val="22"/>
              </w:rPr>
              <w:t xml:space="preserve">Наименование Банка-Гаранта</w:t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sz w:val="22"/>
              </w:rPr>
            </w:pPr>
            <w:r>
              <w:rPr>
                <w:sz w:val="22"/>
              </w:rPr>
              <w:t xml:space="preserve">Номер гарантии</w:t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sz w:val="22"/>
              </w:rPr>
            </w:pPr>
            <w:r>
              <w:rPr>
                <w:sz w:val="22"/>
              </w:rPr>
              <w:t xml:space="preserve">Сумма гарантии, руб.</w:t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8" w:type="dxa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sz w:val="22"/>
              </w:rPr>
            </w:pPr>
            <w:r>
              <w:rPr>
                <w:sz w:val="22"/>
              </w:rPr>
              <w:t xml:space="preserve">Вид гарантии</w:t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sz w:val="22"/>
              </w:rPr>
            </w:pPr>
            <w:r>
              <w:rPr>
                <w:sz w:val="22"/>
              </w:rPr>
              <w:t xml:space="preserve">Дата выдачи гарантии</w:t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sz w:val="22"/>
              </w:rPr>
            </w:pPr>
            <w:r>
              <w:rPr>
                <w:sz w:val="22"/>
              </w:rPr>
              <w:t xml:space="preserve">Дата окончания гарантии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0" w:type="dxa"/>
            <w:vAlign w:val="center"/>
            <w:textDirection w:val="lrTb"/>
            <w:noWrap w:val="false"/>
          </w:tcPr>
          <w:p>
            <w:pPr>
              <w:pStyle w:val="815"/>
              <w:jc w:val="both"/>
              <w:widowControl w:val="off"/>
            </w:pPr>
            <w: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2" w:type="dxa"/>
            <w:vAlign w:val="center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sz w:val="22"/>
              </w:rPr>
            </w:pPr>
            <w:r>
              <w:rPr>
                <w:i/>
                <w:sz w:val="22"/>
              </w:rPr>
              <w:t xml:space="preserve">Указать реквизиты</w:t>
            </w:r>
            <w:r>
              <w:rPr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6" w:type="dxa"/>
            <w:textDirection w:val="lrTb"/>
            <w:noWrap w:val="false"/>
          </w:tcPr>
          <w:p>
            <w:pPr>
              <w:pStyle w:val="815"/>
              <w:jc w:val="both"/>
              <w:widowControl w:val="off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lrTb"/>
            <w:noWrap w:val="false"/>
          </w:tcPr>
          <w:p>
            <w:pPr>
              <w:pStyle w:val="815"/>
              <w:jc w:val="both"/>
              <w:widowControl w:val="off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1" w:type="dxa"/>
            <w:vAlign w:val="center"/>
            <w:textDirection w:val="lrTb"/>
            <w:noWrap w:val="false"/>
          </w:tcPr>
          <w:p>
            <w:pPr>
              <w:pStyle w:val="815"/>
              <w:jc w:val="both"/>
              <w:widowControl w:val="off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8" w:type="dxa"/>
            <w:vAlign w:val="center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i/>
                <w:sz w:val="22"/>
                <w:lang w:val="ru-RU"/>
              </w:rPr>
            </w:pPr>
            <w:r>
              <w:rPr>
                <w:i/>
                <w:sz w:val="22"/>
                <w:lang w:val="ru-RU"/>
              </w:rPr>
              <w:t xml:space="preserve">указать вид гарантии, например, надлежащего исполнения обязательств/возврат аванса</w:t>
            </w:r>
            <w:r>
              <w:rPr>
                <w:i/>
                <w:sz w:val="22"/>
                <w:lang w:val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pStyle w:val="815"/>
              <w:jc w:val="center"/>
              <w:widowControl w:val="off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</w:tr>
    </w:tbl>
    <w:p>
      <w:pPr>
        <w:pStyle w:val="815"/>
        <w:contextualSpacing/>
        <w:jc w:val="both"/>
        <w:spacing w:before="0" w:after="0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Приложение. </w:t>
      </w:r>
      <w:r>
        <w:rPr>
          <w:sz w:val="32"/>
          <w:szCs w:val="32"/>
          <w:lang w:val="ru-RU"/>
        </w:rPr>
      </w:r>
    </w:p>
    <w:p>
      <w:pPr>
        <w:pStyle w:val="815"/>
        <w:contextualSpacing/>
        <w:jc w:val="both"/>
        <w:spacing w:before="0" w:after="0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Оригинал банковской гарантии от ___ № ________;</w:t>
      </w:r>
      <w:r>
        <w:rPr>
          <w:sz w:val="32"/>
          <w:szCs w:val="32"/>
          <w:lang w:val="ru-RU"/>
        </w:rPr>
      </w:r>
    </w:p>
    <w:p>
      <w:pPr>
        <w:pStyle w:val="815"/>
        <w:contextualSpacing/>
        <w:jc w:val="both"/>
        <w:spacing w:before="0" w:after="0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гарантию)</w:t>
      </w:r>
      <w:r>
        <w:rPr>
          <w:i/>
          <w:sz w:val="32"/>
          <w:szCs w:val="32"/>
          <w:lang w:val="ru-RU"/>
        </w:rPr>
      </w:r>
    </w:p>
    <w:p>
      <w:pPr>
        <w:pStyle w:val="815"/>
        <w:contextualSpacing/>
        <w:jc w:val="both"/>
        <w:spacing w:before="0" w:after="0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акт приема-передачи)</w:t>
      </w:r>
      <w:r>
        <w:rPr>
          <w:i/>
          <w:sz w:val="32"/>
          <w:szCs w:val="32"/>
          <w:lang w:val="ru-RU"/>
        </w:rPr>
      </w:r>
    </w:p>
    <w:p>
      <w:pPr>
        <w:pStyle w:val="815"/>
        <w:jc w:val="both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pStyle w:val="815"/>
        <w:jc w:val="both"/>
        <w:spacing w:line="360" w:lineRule="auto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Передал:</w:t>
        <w:tab/>
        <w:tab/>
        <w:tab/>
        <w:tab/>
        <w:tab/>
        <w:tab/>
        <w:tab/>
        <w:t xml:space="preserve">Принял:</w:t>
      </w:r>
      <w:r>
        <w:rPr>
          <w:sz w:val="32"/>
          <w:szCs w:val="32"/>
          <w:lang w:val="ru-RU"/>
        </w:rPr>
      </w:r>
    </w:p>
    <w:p>
      <w:pPr>
        <w:pStyle w:val="815"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Указывается ФИО и должность </w:t>
        <w:tab/>
        <w:t xml:space="preserve">            </w:t>
        <w:tab/>
        <w:tab/>
        <w:t xml:space="preserve">Указывается ФИО и должность </w:t>
        <w:tab/>
      </w:r>
      <w:r>
        <w:rPr>
          <w:sz w:val="32"/>
          <w:szCs w:val="32"/>
          <w:lang w:val="ru-RU"/>
        </w:rPr>
      </w:r>
    </w:p>
    <w:p>
      <w:pPr>
        <w:pStyle w:val="815"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уполномоченного лица Стороны 1</w:t>
        <w:tab/>
        <w:tab/>
        <w:tab/>
        <w:t xml:space="preserve">            уполномоченного лица Стороны 2</w:t>
      </w:r>
      <w:r>
        <w:rPr>
          <w:sz w:val="32"/>
          <w:szCs w:val="32"/>
          <w:lang w:val="ru-RU"/>
        </w:rPr>
      </w:r>
    </w:p>
    <w:p>
      <w:pPr>
        <w:pStyle w:val="815"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  <w:r>
        <w:rPr>
          <w:sz w:val="32"/>
          <w:szCs w:val="32"/>
          <w:lang w:val="ru-RU"/>
        </w:rPr>
      </w:r>
    </w:p>
    <w:p>
      <w:pPr>
        <w:pStyle w:val="815"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___________________________                                          _______________________</w:t>
      </w:r>
      <w:r>
        <w:rPr>
          <w:sz w:val="32"/>
          <w:szCs w:val="32"/>
          <w:lang w:val="ru-RU"/>
        </w:rPr>
      </w:r>
    </w:p>
    <w:p>
      <w:pPr>
        <w:pStyle w:val="815"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>
        <w:rPr>
          <w:sz w:val="20"/>
          <w:szCs w:val="20"/>
          <w:lang w:val="ru-RU"/>
        </w:rPr>
        <w:t xml:space="preserve">МП                                                                                                 МП</w:t>
      </w:r>
      <w:r>
        <w:rPr>
          <w:sz w:val="32"/>
          <w:szCs w:val="32"/>
          <w:lang w:val="ru-RU"/>
        </w:rPr>
      </w:r>
    </w:p>
    <w:p>
      <w:pPr>
        <w:pStyle w:val="822"/>
        <w:jc w:val="center"/>
        <w:rPr>
          <w:rFonts w:ascii="Times New Roman" w:hAnsi="Times New Roman" w:eastAsia="Times New Roman" w:cs="Times New Roman"/>
          <w:bCs w:val="0"/>
          <w:i w:val="0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</w:rPr>
        <w:t xml:space="preserve">ФОРМА СОГЛАСОВАНА</w:t>
      </w:r>
      <w:r>
        <w:rPr>
          <w:rFonts w:ascii="Times New Roman" w:hAnsi="Times New Roman" w:eastAsia="Times New Roman" w:cs="Times New Roman"/>
          <w:bCs w:val="0"/>
          <w:i w:val="0"/>
          <w:highlight w:val="none"/>
        </w:rPr>
      </w:r>
    </w:p>
    <w:tbl>
      <w:tblPr>
        <w:tblW w:w="9570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85"/>
        <w:gridCol w:w="4784"/>
      </w:tblGrid>
      <w:tr>
        <w:tblPrEx/>
        <w:trPr>
          <w:trHeight w:val="80"/>
        </w:trPr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</w:rPr>
              <w:t xml:space="preserve">Покупатель: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Директор «СП Благовещенская ТЭЦ»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4784" w:type="dxa"/>
            <w:textDirection w:val="lrTb"/>
            <w:noWrap w:val="false"/>
          </w:tcPr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</w:rPr>
              <w:t xml:space="preserve">Поставщик: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80"/>
        </w:trPr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А.В. Сазанов</w:t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4784" w:type="dxa"/>
            <w:textDirection w:val="lrTb"/>
            <w:noWrap w:val="false"/>
          </w:tcPr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</w:t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815"/>
        <w:ind w:firstLine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0" w:right="0" w:firstLine="0"/>
        <w:jc w:val="right"/>
        <w:spacing w:before="0" w:after="0" w:line="240" w:lineRule="auto"/>
        <w:widowControl w:val="off"/>
        <w:rPr>
          <w:b w:val="0"/>
          <w:bCs w:val="0"/>
        </w:rPr>
      </w:pPr>
      <w:r>
        <w:rPr>
          <w:rFonts w:eastAsia="Lucida Sans Unicode" w:cs="Times New Roman"/>
          <w:b w:val="0"/>
          <w:bCs w:val="0"/>
          <w:sz w:val="24"/>
          <w:szCs w:val="24"/>
          <w:highlight w:val="none"/>
        </w:rPr>
      </w:r>
      <w:r>
        <w:rPr>
          <w:rFonts w:eastAsia="Lucida Sans Unicode" w:cs="Times New Roman"/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jc w:val="right"/>
        <w:spacing w:before="0" w:after="0" w:line="240" w:lineRule="auto"/>
        <w:widowControl w:val="off"/>
        <w:rPr>
          <w:rFonts w:eastAsia="Lucida Sans Unicode" w:cs="Times New Roman"/>
          <w:b w:val="0"/>
          <w:bCs w:val="0"/>
          <w:sz w:val="24"/>
          <w:szCs w:val="24"/>
          <w:highlight w:val="none"/>
        </w:rPr>
      </w:pPr>
      <w:r>
        <w:rPr>
          <w:rFonts w:eastAsia="Lucida Sans Unicode" w:cs="Times New Roman"/>
          <w:b w:val="0"/>
          <w:bCs w:val="0"/>
          <w:sz w:val="24"/>
          <w:szCs w:val="24"/>
          <w:highlight w:val="none"/>
        </w:rPr>
      </w:r>
      <w:r>
        <w:rPr>
          <w:rFonts w:eastAsia="Lucida Sans Unicode" w:cs="Times New Roman"/>
          <w:b w:val="0"/>
          <w:bCs w:val="0"/>
          <w:sz w:val="24"/>
          <w:szCs w:val="24"/>
          <w:highlight w:val="none"/>
        </w:rPr>
      </w:r>
    </w:p>
    <w:p>
      <w:pPr>
        <w:pStyle w:val="815"/>
        <w:ind w:left="0" w:right="0" w:firstLine="0"/>
        <w:jc w:val="right"/>
        <w:spacing w:before="0" w:after="0" w:line="240" w:lineRule="auto"/>
        <w:widowControl w:val="off"/>
        <w:rPr>
          <w:rFonts w:eastAsia="Lucida Sans Unicode" w:cs="Times New Roman"/>
          <w:b w:val="0"/>
          <w:bCs w:val="0"/>
          <w:sz w:val="24"/>
          <w:szCs w:val="24"/>
          <w:highlight w:val="none"/>
        </w:rPr>
      </w:pPr>
      <w:r>
        <w:rPr>
          <w:rFonts w:eastAsia="Lucida Sans Unicode" w:cs="Times New Roman"/>
          <w:b w:val="0"/>
          <w:bCs w:val="0"/>
          <w:sz w:val="24"/>
          <w:szCs w:val="24"/>
        </w:rPr>
        <w:t xml:space="preserve">Приложение № 5</w:t>
      </w:r>
      <w:r>
        <w:rPr>
          <w:rFonts w:eastAsia="Lucida Sans Unicode" w:cs="Times New Roman"/>
          <w:b w:val="0"/>
          <w:bCs w:val="0"/>
          <w:sz w:val="24"/>
          <w:szCs w:val="24"/>
          <w:highlight w:val="none"/>
        </w:rPr>
      </w:r>
    </w:p>
    <w:p>
      <w:pPr>
        <w:pStyle w:val="815"/>
        <w:ind w:left="0" w:right="0" w:firstLine="0"/>
        <w:jc w:val="right"/>
        <w:rPr>
          <w:b w:val="0"/>
          <w:bCs w:val="0"/>
        </w:rPr>
      </w:pPr>
      <w:r>
        <w:rPr>
          <w:rFonts w:eastAsia="Lucida Sans Unicode" w:cs="Times New Roman"/>
          <w:b w:val="0"/>
          <w:bCs w:val="0"/>
          <w:sz w:val="24"/>
          <w:szCs w:val="24"/>
        </w:rPr>
        <w:t xml:space="preserve">к договору поставки № _____ от _____  г</w:t>
      </w:r>
      <w:r>
        <w:rPr>
          <w:b w:val="0"/>
          <w:bCs w:val="0"/>
        </w:rPr>
      </w:r>
    </w:p>
    <w:p>
      <w:pPr>
        <w:pStyle w:val="815"/>
        <w:jc w:val="center"/>
        <w:rPr>
          <w:sz w:val="24"/>
        </w:rPr>
      </w:pPr>
      <w:r>
        <w:rPr>
          <w:rFonts w:eastAsia="Times New Roman" w:cs="Times New Roman"/>
          <w:b/>
          <w:sz w:val="24"/>
          <w:szCs w:val="24"/>
        </w:rPr>
        <w:t xml:space="preserve">Акт №____</w:t>
      </w:r>
      <w:r>
        <w:rPr>
          <w:sz w:val="24"/>
        </w:rPr>
      </w:r>
    </w:p>
    <w:p>
      <w:pPr>
        <w:pStyle w:val="815"/>
        <w:jc w:val="center"/>
        <w:rPr>
          <w:sz w:val="24"/>
        </w:rPr>
      </w:pPr>
      <w:r>
        <w:rPr>
          <w:rFonts w:eastAsia="Times New Roman" w:cs="Times New Roman"/>
          <w:b/>
          <w:sz w:val="24"/>
          <w:szCs w:val="24"/>
        </w:rPr>
        <w:t xml:space="preserve">сдачи-приемки выполненных работ</w:t>
      </w:r>
      <w:r>
        <w:rPr>
          <w:sz w:val="24"/>
        </w:rPr>
      </w:r>
    </w:p>
    <w:p>
      <w:pPr>
        <w:pStyle w:val="815"/>
        <w:jc w:val="center"/>
        <w:rPr>
          <w:sz w:val="24"/>
        </w:rPr>
      </w:pPr>
      <w:r>
        <w:rPr>
          <w:rFonts w:eastAsia="Times New Roman" w:cs="Times New Roman"/>
          <w:b/>
          <w:sz w:val="24"/>
          <w:szCs w:val="24"/>
        </w:rPr>
        <w:t xml:space="preserve">(форма)</w:t>
      </w:r>
      <w:r>
        <w:rPr>
          <w:sz w:val="24"/>
        </w:rPr>
      </w:r>
    </w:p>
    <w:p>
      <w:pPr>
        <w:pStyle w:val="815"/>
        <w:jc w:val="center"/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</w:r>
      <w:r>
        <w:rPr>
          <w:rFonts w:cs="Times New Roman"/>
          <w:b/>
          <w:sz w:val="24"/>
        </w:rPr>
      </w:r>
    </w:p>
    <w:p>
      <w:pPr>
        <w:pStyle w:val="815"/>
        <w:jc w:val="both"/>
        <w:tabs>
          <w:tab w:val="clear" w:pos="708" w:leader="none"/>
          <w:tab w:val="left" w:pos="8280" w:leader="none"/>
        </w:tabs>
        <w:rPr>
          <w:rFonts w:cs="Times New Roman"/>
          <w:sz w:val="24"/>
        </w:rPr>
      </w:pPr>
      <w:r>
        <w:rPr>
          <w:rFonts w:cs="Times New Roman"/>
          <w:sz w:val="24"/>
        </w:rPr>
      </w:r>
      <w:r>
        <w:rPr>
          <w:rFonts w:cs="Times New Roman"/>
          <w:sz w:val="24"/>
        </w:rPr>
      </w:r>
    </w:p>
    <w:p>
      <w:pPr>
        <w:pStyle w:val="815"/>
        <w:rPr>
          <w:sz w:val="24"/>
        </w:rPr>
      </w:pPr>
      <w:r>
        <w:rPr>
          <w:rFonts w:eastAsia="Times New Roman" w:cs="Times New Roman"/>
          <w:sz w:val="24"/>
          <w:szCs w:val="24"/>
        </w:rPr>
        <w:t xml:space="preserve">г. Хабаровск</w:t>
        <w:tab/>
        <w:tab/>
        <w:tab/>
        <w:tab/>
        <w:tab/>
        <w:tab/>
        <w:tab/>
        <w:tab/>
        <w:t xml:space="preserve">          «_____»_________202_ г.</w:t>
      </w:r>
      <w:r>
        <w:rPr>
          <w:sz w:val="24"/>
        </w:rPr>
      </w:r>
    </w:p>
    <w:p>
      <w:pPr>
        <w:pStyle w:val="815"/>
        <w:rPr>
          <w:rFonts w:cs="Times New Roman"/>
          <w:sz w:val="24"/>
        </w:rPr>
      </w:pPr>
      <w:r>
        <w:rPr>
          <w:rFonts w:cs="Times New Roman"/>
          <w:sz w:val="24"/>
        </w:rPr>
      </w:r>
      <w:r>
        <w:rPr>
          <w:rFonts w:cs="Times New Roman"/>
          <w:sz w:val="24"/>
        </w:rPr>
      </w:r>
    </w:p>
    <w:p>
      <w:pPr>
        <w:pStyle w:val="815"/>
        <w:rPr>
          <w:rFonts w:cs="Times New Roman"/>
          <w:sz w:val="24"/>
        </w:rPr>
      </w:pPr>
      <w:r>
        <w:rPr>
          <w:rFonts w:cs="Times New Roman"/>
          <w:sz w:val="24"/>
        </w:rPr>
      </w:r>
      <w:r>
        <w:rPr>
          <w:rFonts w:cs="Times New Roman"/>
          <w:sz w:val="24"/>
        </w:rPr>
      </w:r>
    </w:p>
    <w:p>
      <w:pPr>
        <w:pStyle w:val="815"/>
        <w:jc w:val="both"/>
        <w:rPr>
          <w:sz w:val="24"/>
        </w:rPr>
      </w:pPr>
      <w:r>
        <w:rPr>
          <w:rFonts w:eastAsia="Times New Roman" w:cs="Times New Roman"/>
          <w:sz w:val="24"/>
          <w:szCs w:val="24"/>
        </w:rPr>
        <w:t xml:space="preserve">Мы, нижеподписавшиеся </w:t>
      </w:r>
      <w:r>
        <w:rPr>
          <w:rFonts w:eastAsia="Times New Roman" w:cs="Times New Roman"/>
          <w:b/>
          <w:bCs/>
          <w:sz w:val="24"/>
          <w:szCs w:val="24"/>
        </w:rPr>
        <w:t xml:space="preserve">__________________,</w:t>
      </w:r>
      <w:r>
        <w:rPr>
          <w:rFonts w:eastAsia="Times New Roman" w:cs="Times New Roman"/>
          <w:sz w:val="24"/>
          <w:szCs w:val="24"/>
        </w:rPr>
        <w:t xml:space="preserve"> именуемое в дальнейшем «Поставщик», в лице _______________ с одной стороны, и </w:t>
      </w:r>
      <w:r>
        <w:rPr>
          <w:rFonts w:eastAsia="Times New Roman" w:cs="Times New Roman"/>
          <w:b/>
          <w:sz w:val="24"/>
          <w:szCs w:val="24"/>
        </w:rPr>
        <w:t xml:space="preserve">____________</w:t>
      </w:r>
      <w:r>
        <w:rPr>
          <w:rFonts w:eastAsia="Times New Roman" w:cs="Times New Roman"/>
          <w:sz w:val="24"/>
          <w:szCs w:val="24"/>
        </w:rPr>
        <w:t xml:space="preserve">, именуемое в дальнейшем «Покупатель», в лице _________________ с другой стороны, составили настоящий Акт в том, что:</w:t>
      </w:r>
      <w:r>
        <w:rPr>
          <w:sz w:val="24"/>
        </w:rPr>
      </w:r>
    </w:p>
    <w:p>
      <w:pPr>
        <w:pStyle w:val="815"/>
        <w:numPr>
          <w:ilvl w:val="0"/>
          <w:numId w:val="13"/>
        </w:numPr>
        <w:jc w:val="both"/>
        <w:tabs>
          <w:tab w:val="clear" w:pos="708" w:leader="none"/>
          <w:tab w:val="left" w:pos="8820" w:leader="none"/>
        </w:tabs>
        <w:rPr>
          <w:sz w:val="24"/>
        </w:rPr>
      </w:pPr>
      <w:r>
        <w:rPr>
          <w:rFonts w:eastAsia="Times New Roman" w:cs="Times New Roman"/>
          <w:sz w:val="24"/>
          <w:szCs w:val="24"/>
        </w:rPr>
        <w:t xml:space="preserve">В соответствии с условиями Договора №_______от__________г. Поставщик выполнил:</w:t>
      </w:r>
      <w:r>
        <w:rPr>
          <w:sz w:val="24"/>
        </w:rPr>
      </w:r>
    </w:p>
    <w:p>
      <w:pPr>
        <w:pStyle w:val="910"/>
        <w:ind w:left="3240" w:firstLine="0"/>
        <w:jc w:val="both"/>
        <w:tabs>
          <w:tab w:val="clear" w:pos="708" w:leader="none"/>
          <w:tab w:val="left" w:pos="8820" w:leader="none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  <w:r>
        <w:rPr>
          <w:rFonts w:cs="Times New Roman"/>
          <w:sz w:val="24"/>
          <w:szCs w:val="24"/>
        </w:rPr>
      </w:r>
    </w:p>
    <w:p>
      <w:pPr>
        <w:pStyle w:val="815"/>
        <w:numPr>
          <w:ilvl w:val="0"/>
          <w:numId w:val="9"/>
        </w:numPr>
        <w:jc w:val="both"/>
        <w:rPr>
          <w:sz w:val="24"/>
        </w:rPr>
      </w:pPr>
      <w:r>
        <w:rPr>
          <w:rFonts w:eastAsia="Times New Roman" w:cs="Times New Roman"/>
          <w:bCs/>
          <w:iCs/>
          <w:color w:val="000000"/>
          <w:sz w:val="24"/>
          <w:szCs w:val="24"/>
        </w:rPr>
        <w:t xml:space="preserve">_______________________________________________.</w:t>
      </w:r>
      <w:r>
        <w:rPr>
          <w:sz w:val="24"/>
        </w:rPr>
      </w:r>
    </w:p>
    <w:p>
      <w:pPr>
        <w:pStyle w:val="815"/>
        <w:jc w:val="both"/>
        <w:tabs>
          <w:tab w:val="clear" w:pos="708" w:leader="none"/>
          <w:tab w:val="left" w:pos="1843" w:leader="none"/>
          <w:tab w:val="left" w:pos="2268" w:leader="none"/>
        </w:tabs>
        <w:rPr>
          <w:sz w:val="24"/>
        </w:rPr>
      </w:pPr>
      <w:r>
        <w:rPr>
          <w:rFonts w:eastAsia="Times New Roman" w:cs="Times New Roman"/>
          <w:bCs/>
          <w:iCs/>
          <w:color w:val="000000"/>
          <w:sz w:val="24"/>
          <w:szCs w:val="24"/>
        </w:rPr>
        <w:t xml:space="preserve">          </w:t>
      </w:r>
      <w:r>
        <w:rPr>
          <w:sz w:val="24"/>
        </w:rPr>
      </w:r>
    </w:p>
    <w:p>
      <w:pPr>
        <w:pStyle w:val="815"/>
        <w:numPr>
          <w:ilvl w:val="0"/>
          <w:numId w:val="8"/>
        </w:numPr>
        <w:jc w:val="both"/>
        <w:rPr>
          <w:sz w:val="24"/>
        </w:rPr>
      </w:pPr>
      <w:r>
        <w:rPr>
          <w:rFonts w:eastAsia="Times New Roman" w:cs="Times New Roman"/>
          <w:sz w:val="24"/>
          <w:szCs w:val="24"/>
        </w:rPr>
        <w:t xml:space="preserve">В соответствии с п.1 настоящего Акта, Стороны согласились считать работы полностью оказанными. Покупатель не имеет претензий к Поставщику по качеству и объему выполненных работ.</w:t>
      </w:r>
      <w:r>
        <w:rPr>
          <w:sz w:val="24"/>
        </w:rPr>
      </w:r>
    </w:p>
    <w:p>
      <w:pPr>
        <w:pStyle w:val="815"/>
        <w:numPr>
          <w:ilvl w:val="0"/>
          <w:numId w:val="8"/>
        </w:numPr>
        <w:jc w:val="both"/>
        <w:rPr>
          <w:sz w:val="24"/>
        </w:rPr>
      </w:pPr>
      <w:r>
        <w:rPr>
          <w:rFonts w:eastAsia="Times New Roman" w:cs="Times New Roman"/>
          <w:sz w:val="24"/>
          <w:szCs w:val="24"/>
        </w:rPr>
        <w:t xml:space="preserve">Стоимость работ по перечисленным в п.1 работам составляет </w:t>
      </w:r>
      <w:r>
        <w:rPr>
          <w:rFonts w:eastAsia="Times New Roman" w:cs="Times New Roman"/>
          <w:b/>
          <w:sz w:val="24"/>
          <w:szCs w:val="24"/>
        </w:rPr>
        <w:t xml:space="preserve">_________ руб. (________________ руб. __ коп.), </w:t>
      </w:r>
      <w:r>
        <w:rPr>
          <w:rFonts w:eastAsia="Times New Roman" w:cs="Times New Roman"/>
          <w:sz w:val="24"/>
          <w:szCs w:val="24"/>
        </w:rPr>
        <w:t xml:space="preserve">в том числе НДС 22% ____руб._____коп. </w:t>
      </w:r>
      <w:r>
        <w:rPr>
          <w:sz w:val="24"/>
        </w:rPr>
      </w:r>
    </w:p>
    <w:p>
      <w:pPr>
        <w:pStyle w:val="815"/>
        <w:numPr>
          <w:ilvl w:val="0"/>
          <w:numId w:val="8"/>
        </w:numPr>
        <w:jc w:val="both"/>
        <w:rPr>
          <w:sz w:val="24"/>
        </w:rPr>
      </w:pPr>
      <w:r>
        <w:rPr>
          <w:rFonts w:eastAsia="Times New Roman" w:cs="Times New Roman"/>
          <w:sz w:val="24"/>
          <w:szCs w:val="24"/>
        </w:rPr>
        <w:t xml:space="preserve">Данный акт составлен в 2-х экземплярах.</w:t>
      </w:r>
      <w:r>
        <w:rPr>
          <w:sz w:val="24"/>
        </w:rPr>
      </w:r>
    </w:p>
    <w:p>
      <w:pPr>
        <w:pStyle w:val="815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tbl>
      <w:tblPr>
        <w:tblW w:w="9801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212"/>
        <w:gridCol w:w="4588"/>
      </w:tblGrid>
      <w:tr>
        <w:tblPrEx/>
        <w:trPr/>
        <w:tc>
          <w:tcPr>
            <w:tcW w:w="5212" w:type="dxa"/>
            <w:textDirection w:val="lrTb"/>
            <w:noWrap w:val="false"/>
          </w:tcPr>
          <w:p>
            <w:pPr>
              <w:pStyle w:val="815"/>
              <w:widowControl w:val="off"/>
              <w:tabs>
                <w:tab w:val="clear" w:pos="708" w:leader="none"/>
                <w:tab w:val="left" w:pos="3060" w:leader="underscore"/>
              </w:tabs>
              <w:rPr>
                <w:rFonts w:cs="Times New Roman"/>
                <w:b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ПОКУПАТЕЛЬ:</w:t>
            </w:r>
            <w:r>
              <w:rPr>
                <w:rFonts w:cs="Times New Roman"/>
                <w:b/>
              </w:rPr>
            </w:r>
          </w:p>
          <w:p>
            <w:pPr>
              <w:pStyle w:val="815"/>
              <w:widowControl w:val="off"/>
              <w:tabs>
                <w:tab w:val="clear" w:pos="708" w:leader="none"/>
                <w:tab w:val="left" w:pos="3060" w:leader="underscore"/>
              </w:tabs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</w:r>
            <w:r>
              <w:rPr>
                <w:rFonts w:cs="Times New Roman"/>
                <w:b/>
              </w:rPr>
            </w:r>
          </w:p>
          <w:p>
            <w:pPr>
              <w:pStyle w:val="815"/>
              <w:widowControl w:val="off"/>
              <w:tabs>
                <w:tab w:val="clear" w:pos="708" w:leader="none"/>
                <w:tab w:val="left" w:pos="3060" w:leader="underscore"/>
              </w:tabs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</w:r>
            <w:r>
              <w:rPr>
                <w:rFonts w:cs="Times New Roman"/>
                <w:b/>
              </w:rPr>
            </w:r>
          </w:p>
          <w:p>
            <w:pPr>
              <w:pStyle w:val="815"/>
              <w:widowControl w:val="off"/>
              <w:tabs>
                <w:tab w:val="clear" w:pos="708" w:leader="none"/>
                <w:tab w:val="left" w:pos="3060" w:leader="underscore"/>
              </w:tabs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</w:r>
            <w:r>
              <w:rPr>
                <w:rFonts w:cs="Times New Roman"/>
                <w:b/>
              </w:rPr>
            </w:r>
          </w:p>
        </w:tc>
        <w:tc>
          <w:tcPr>
            <w:tcW w:w="4588" w:type="dxa"/>
            <w:textDirection w:val="lrTb"/>
            <w:noWrap w:val="false"/>
          </w:tcPr>
          <w:p>
            <w:pPr>
              <w:pStyle w:val="815"/>
              <w:widowControl w:val="off"/>
              <w:tabs>
                <w:tab w:val="clear" w:pos="708" w:leader="none"/>
                <w:tab w:val="left" w:pos="3060" w:leader="underscore"/>
              </w:tabs>
              <w:rPr>
                <w:rFonts w:cs="Times New Roman"/>
                <w:b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ПОСТАВЩИК:</w:t>
            </w:r>
            <w:r>
              <w:rPr>
                <w:rFonts w:cs="Times New Roman"/>
                <w:b/>
              </w:rPr>
            </w:r>
          </w:p>
          <w:p>
            <w:pPr>
              <w:pStyle w:val="815"/>
              <w:widowControl w:val="off"/>
              <w:tabs>
                <w:tab w:val="clear" w:pos="708" w:leader="none"/>
                <w:tab w:val="left" w:pos="3060" w:leader="underscore"/>
              </w:tabs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</w:r>
            <w:r>
              <w:rPr>
                <w:rFonts w:cs="Times New Roman"/>
                <w:b/>
              </w:rPr>
            </w:r>
          </w:p>
        </w:tc>
      </w:tr>
      <w:tr>
        <w:tblPrEx/>
        <w:trPr/>
        <w:tc>
          <w:tcPr>
            <w:tcW w:w="5212" w:type="dxa"/>
            <w:textDirection w:val="lrTb"/>
            <w:noWrap w:val="false"/>
          </w:tcPr>
          <w:p>
            <w:pPr>
              <w:pStyle w:val="815"/>
              <w:widowControl w:val="off"/>
              <w:tabs>
                <w:tab w:val="clear" w:pos="708" w:leader="none"/>
                <w:tab w:val="left" w:pos="3060" w:leader="underscore"/>
              </w:tabs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  <w:p>
            <w:pPr>
              <w:pStyle w:val="921"/>
              <w:widowControl w:val="off"/>
              <w:tabs>
                <w:tab w:val="left" w:pos="3060" w:leader="underscore"/>
                <w:tab w:val="center" w:pos="4677" w:leader="none"/>
                <w:tab w:val="right" w:pos="9355" w:leader="none"/>
              </w:tabs>
              <w:rPr>
                <w:rFonts w:cs="Times New Roman"/>
              </w:rPr>
            </w:pPr>
            <w:r>
              <w:rPr>
                <w:rFonts w:eastAsia="Times New Roman" w:cs="Times New Roman"/>
                <w:szCs w:val="24"/>
              </w:rPr>
              <w:t xml:space="preserve">_____________________</w:t>
            </w:r>
            <w:r>
              <w:rPr>
                <w:rFonts w:cs="Times New Roman"/>
              </w:rPr>
            </w:r>
          </w:p>
        </w:tc>
        <w:tc>
          <w:tcPr>
            <w:tcW w:w="4588" w:type="dxa"/>
            <w:textDirection w:val="lrTb"/>
            <w:noWrap w:val="false"/>
          </w:tcPr>
          <w:p>
            <w:pPr>
              <w:pStyle w:val="815"/>
              <w:widowControl w:val="off"/>
              <w:tabs>
                <w:tab w:val="clear" w:pos="708" w:leader="none"/>
                <w:tab w:val="left" w:pos="3060" w:leader="underscore"/>
              </w:tabs>
              <w:rPr>
                <w:rFonts w:cs="Times New Roman"/>
              </w:rPr>
            </w:pPr>
            <w:r>
              <w:rPr>
                <w:rFonts w:cs="Times New Roman"/>
              </w:rPr>
            </w:r>
            <w:r>
              <w:rPr>
                <w:rFonts w:cs="Times New Roman"/>
              </w:rPr>
            </w:r>
          </w:p>
          <w:p>
            <w:pPr>
              <w:pStyle w:val="815"/>
              <w:widowControl w:val="off"/>
              <w:tabs>
                <w:tab w:val="clear" w:pos="708" w:leader="none"/>
                <w:tab w:val="left" w:pos="3060" w:leader="underscore"/>
              </w:tabs>
              <w:rPr>
                <w:rFonts w:cs="Times New Roman"/>
              </w:rPr>
            </w:pPr>
            <w:r>
              <w:rPr>
                <w:rFonts w:eastAsia="Times New Roman" w:cs="Times New Roman"/>
                <w:szCs w:val="24"/>
              </w:rPr>
              <w:t xml:space="preserve">_____________________</w:t>
            </w:r>
            <w:r>
              <w:rPr>
                <w:rFonts w:cs="Times New Roman"/>
              </w:rPr>
            </w:r>
          </w:p>
        </w:tc>
      </w:tr>
    </w:tbl>
    <w:p>
      <w:pPr>
        <w:pStyle w:val="815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p>
      <w:pPr>
        <w:pStyle w:val="822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15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p>
      <w:pPr>
        <w:pStyle w:val="822"/>
        <w:jc w:val="center"/>
        <w:spacing w:before="0" w:after="0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ФОРМА СОГЛАСОВАНА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pStyle w:val="815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p>
      <w:pPr>
        <w:pStyle w:val="815"/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tbl>
      <w:tblPr>
        <w:tblW w:w="9570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85"/>
        <w:gridCol w:w="4784"/>
      </w:tblGrid>
      <w:tr>
        <w:tblPrEx/>
        <w:trPr>
          <w:trHeight w:val="80"/>
        </w:trPr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</w:rPr>
              <w:t xml:space="preserve">Покупатель: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Директор «СП Благовещенская ТЭЦ»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4784" w:type="dxa"/>
            <w:textDirection w:val="lrTb"/>
            <w:noWrap w:val="false"/>
          </w:tcPr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</w:rPr>
              <w:t xml:space="preserve">Поставщик: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80"/>
        </w:trPr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А.В. Сазанов</w:t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4784" w:type="dxa"/>
            <w:textDirection w:val="lrTb"/>
            <w:noWrap w:val="false"/>
          </w:tcPr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</w:t>
            </w:r>
            <w:r>
              <w:rPr>
                <w:sz w:val="22"/>
                <w:szCs w:val="22"/>
              </w:rPr>
            </w:r>
          </w:p>
          <w:p>
            <w:pPr>
              <w:pStyle w:val="815"/>
              <w:ind w:left="720" w:firstLine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815"/>
        <w:rPr>
          <w:rFonts w:cs="Times New Roman"/>
          <w:szCs w:val="24"/>
        </w:rPr>
      </w:pPr>
      <w:r/>
      <w:r>
        <w:rPr>
          <w:rFonts w:cs="Times New Roman"/>
          <w:szCs w:val="24"/>
        </w:rPr>
      </w:r>
    </w:p>
    <w:sectPr>
      <w:headerReference w:type="default" r:id="rId12"/>
      <w:headerReference w:type="first" r:id="rId13"/>
      <w:footerReference w:type="default" r:id="rId17"/>
      <w:footerReference w:type="first" r:id="rId18"/>
      <w:footnotePr>
        <w:numFmt w:val="decimal"/>
      </w:footnotePr>
      <w:endnotePr/>
      <w:type w:val="nextPage"/>
      <w:pgSz w:w="11906" w:h="16838" w:orient="portrait"/>
      <w:pgMar w:top="1134" w:right="851" w:bottom="1134" w:left="1418" w:header="567" w:footer="397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Microsoft Sans Serif">
    <w:panose1 w:val="020B0604020202020204"/>
  </w:font>
  <w:font w:name="Calibri">
    <w:panose1 w:val="020F0502020204030204"/>
  </w:font>
  <w:font w:name="Lucida Sans Unicode">
    <w:panose1 w:val="020B0603030804020204"/>
  </w:font>
  <w:font w:name="Verdana">
    <w:panose1 w:val="020B0604030504040204"/>
  </w:font>
  <w:font w:name="Courier New">
    <w:panose1 w:val="02070309020205020404"/>
  </w:font>
  <w:font w:name="Tahoma">
    <w:panose1 w:val="020B0604030504040204"/>
  </w:font>
  <w:font w:name="Noto Sans CJK SC">
    <w:panose1 w:val="020B0502040504020204"/>
  </w:font>
  <w:font w:name="Cambria">
    <w:panose1 w:val="02040803050406030204"/>
  </w:font>
  <w:font w:name="Wingdings">
    <w:panose1 w:val="05010000000000000000"/>
  </w:font>
  <w:font w:name="Liberation Sans">
    <w:panose1 w:val="020B0604020202020204"/>
  </w:font>
  <w:font w:name="Noto Serif CJK SC">
    <w:panose1 w:val="020B0502040504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jc w:val="right"/>
      <w:rPr>
        <w:highlight w:val="none"/>
        <w:shd w:val="clear" w:color="auto" w:fill="ffffff"/>
      </w:rPr>
    </w:pPr>
    <w:r>
      <w:rPr>
        <w:shd w:val="clear" w:color="auto" w:fill="ffffff"/>
      </w:rPr>
    </w:r>
    <w:r>
      <w:rPr>
        <w:highlight w:val="none"/>
        <w:shd w:val="clear" w:color="auto" w:fill="ffffff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jc w:val="right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jc w:val="right"/>
      <w:rPr>
        <w:sz w:val="22"/>
        <w:szCs w:val="22"/>
      </w:rPr>
    </w:pPr>
    <w:r>
      <w:rPr>
        <w:sz w:val="22"/>
        <w:szCs w:val="22"/>
      </w:rPr>
    </w:r>
    <w:r>
      <w:rPr>
        <w:sz w:val="22"/>
        <w:szCs w:val="22"/>
      </w:rPr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sz w:val="12"/>
        </w:rPr>
      </w:pPr>
      <w:r>
        <w:separator/>
      </w:r>
      <w:r>
        <w:rPr>
          <w:sz w:val="12"/>
        </w:rPr>
      </w:r>
    </w:p>
  </w:footnote>
  <w:footnote w:type="continuationSeparator" w:id="0">
    <w:p>
      <w:pPr>
        <w:rPr>
          <w:sz w:val="12"/>
        </w:rPr>
      </w:pPr>
      <w:r>
        <w:continuationSeparator/>
      </w:r>
      <w:r>
        <w:rPr>
          <w:sz w:val="12"/>
        </w:rPr>
      </w:r>
    </w:p>
  </w:footnote>
  <w:footnote w:id="2">
    <w:p>
      <w:pPr>
        <w:pStyle w:val="916"/>
        <w:jc w:val="both"/>
      </w:pPr>
      <w:r>
        <w:rPr>
          <w:rStyle w:val="857"/>
        </w:rPr>
        <w:footnoteRef/>
      </w:r>
      <w:r>
        <w:t xml:space="preserve"> </w:t>
      </w:r>
      <w:r>
        <w:t xml:space="preserve">Актуальный Перечень Банков-Гарантов Группы РусГидро размещен на официальном сайте Общества http://zakupki.rushydro.ru/PublicContent/Section/6</w:t>
      </w:r>
      <w:r/>
    </w:p>
  </w:footnote>
  <w:footnote w:id="3">
    <w:p>
      <w:pPr>
        <w:pStyle w:val="916"/>
        <w:jc w:val="both"/>
      </w:pPr>
      <w:r>
        <w:rPr>
          <w:rStyle w:val="857"/>
        </w:rPr>
        <w:footnoteRef/>
      </w:r>
      <w:r>
        <w:t xml:space="preserve"> </w:t>
      </w:r>
      <w:r>
        <w:t xml:space="preserve">Если кредитная организация имеет рейтинги кредитоспособности разных уровней</w:t>
      </w:r>
      <w:r>
        <w:t xml:space="preserve">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Reuters, Bloomberg, Сbonds).</w:t>
      </w:r>
      <w:r/>
    </w:p>
  </w:footnote>
  <w:footnote w:id="4">
    <w:p>
      <w:pPr>
        <w:pStyle w:val="916"/>
        <w:jc w:val="both"/>
      </w:pPr>
      <w:r>
        <w:rPr>
          <w:rStyle w:val="857"/>
        </w:rPr>
        <w:footnoteRef/>
      </w:r>
      <w:r>
        <w:t xml:space="preserve"> </w:t>
      </w:r>
      <w:r>
        <w:t xml:space="preserve">Данное требование не применяется в отношении небанковских кредитных организаций.</w:t>
      </w:r>
      <w:r/>
    </w:p>
  </w:footnote>
  <w:footnote w:id="5">
    <w:p>
      <w:pPr>
        <w:pStyle w:val="916"/>
        <w:jc w:val="both"/>
      </w:pPr>
      <w:r>
        <w:rPr>
          <w:rStyle w:val="857"/>
        </w:rPr>
        <w:footnoteRef/>
      </w:r>
      <w:r>
        <w:t xml:space="preserve"> </w:t>
      </w:r>
      <w:r>
        <w:rPr>
          <w:lang w:eastAsia="en-US"/>
        </w:rPr>
        <w:t xml:space="preserve">З</w:t>
      </w:r>
      <w:r>
        <w:rPr>
          <w:lang w:eastAsia="en-US"/>
        </w:rPr>
        <w:t xml:space="preserve">начение показателя округляется в большую или меньшую сторону до суммы, кратной 100 млн. руб. по правилам математического округления. В случае, если первая из отделяемых цифр меньше 5 - то значение показателя округляется в меньшую сторону; если первая из от</w:t>
      </w:r>
      <w:r>
        <w:rPr>
          <w:lang w:eastAsia="en-US"/>
        </w:rPr>
        <w:t xml:space="preserve">деляемых цифр больше 5, то значение показателя округляется в большую сторону. Например, расчетное значение лимита - 5 440 млн. руб., лимит к установлению - 5 400 млн. руб.; расчетное значение лимита - 5 450 млн. руб., лимит к установлению - 5 500 млн. руб.</w:t>
      </w:r>
      <w:r/>
    </w:p>
  </w:footnote>
  <w:footnote w:id="6">
    <w:p>
      <w:pPr>
        <w:pStyle w:val="916"/>
        <w:jc w:val="both"/>
      </w:pPr>
      <w:r>
        <w:rPr>
          <w:rStyle w:val="857"/>
        </w:rPr>
        <w:footnoteRef/>
      </w:r>
      <w:r>
        <w:t xml:space="preserve"> </w:t>
      </w:r>
      <w:r>
        <w:t xml:space="preserve">Если кредитная организация имеет рейтинги кредитоспособности разных уровне</w:t>
      </w:r>
      <w:r>
        <w:t xml:space="preserve">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Reuters, Bloomberg, Сbonds)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5"/>
      <w:tabs>
        <w:tab w:val="clear" w:pos="708" w:leader="none"/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5"/>
      <w:tabs>
        <w:tab w:val="clear" w:pos="708" w:leader="none"/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1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  <w:tabs>
          <w:tab w:val="num" w:pos="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  <w:tabs>
          <w:tab w:val="num" w:pos="0" w:leader="none"/>
        </w:tabs>
      </w:pPr>
    </w:lvl>
  </w:abstractNum>
  <w:abstractNum w:abstractNumId="2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5" w:default="1">
    <w:name w:val="Normal"/>
    <w:qFormat/>
    <w:pPr>
      <w:jc w:val="left"/>
      <w:spacing w:before="0" w:after="0"/>
      <w:widowControl w:val="off"/>
    </w:pPr>
    <w:rPr>
      <w:rFonts w:ascii="Times New Roman" w:hAnsi="Times New Roman" w:eastAsia="Noto Serif CJK SC" w:cs="Arial Unicode MS"/>
      <w:color w:val="auto"/>
      <w:sz w:val="20"/>
      <w:szCs w:val="20"/>
      <w:lang w:val="ru-RU" w:eastAsia="ru-RU" w:bidi="ar-SA"/>
    </w:rPr>
  </w:style>
  <w:style w:type="paragraph" w:styleId="816">
    <w:name w:val="Heading 1"/>
    <w:basedOn w:val="815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17">
    <w:name w:val="Heading 2"/>
    <w:basedOn w:val="8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18">
    <w:name w:val="Heading 3"/>
    <w:basedOn w:val="815"/>
    <w:qFormat/>
    <w:pPr>
      <w:keepLines/>
      <w:keepNext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819">
    <w:name w:val="Heading 4"/>
    <w:basedOn w:val="8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0">
    <w:name w:val="Heading 5"/>
    <w:basedOn w:val="81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21">
    <w:name w:val="Heading 6"/>
    <w:basedOn w:val="8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2">
    <w:name w:val="Heading 7"/>
    <w:basedOn w:val="8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3">
    <w:name w:val="Heading 8"/>
    <w:basedOn w:val="8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4">
    <w:name w:val="Heading 9"/>
    <w:basedOn w:val="81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5">
    <w:name w:val="Heading 1 Char"/>
    <w:basedOn w:val="845"/>
    <w:uiPriority w:val="9"/>
    <w:qFormat/>
    <w:rPr>
      <w:rFonts w:ascii="Arial" w:hAnsi="Arial" w:eastAsia="Arial" w:cs="Arial"/>
      <w:sz w:val="40"/>
      <w:szCs w:val="40"/>
    </w:rPr>
  </w:style>
  <w:style w:type="character" w:styleId="826">
    <w:name w:val="Heading 2 Char"/>
    <w:basedOn w:val="845"/>
    <w:uiPriority w:val="9"/>
    <w:qFormat/>
    <w:rPr>
      <w:rFonts w:ascii="Arial" w:hAnsi="Arial" w:eastAsia="Arial" w:cs="Arial"/>
      <w:sz w:val="34"/>
    </w:rPr>
  </w:style>
  <w:style w:type="character" w:styleId="827">
    <w:name w:val="Heading 3 Char"/>
    <w:basedOn w:val="845"/>
    <w:uiPriority w:val="9"/>
    <w:qFormat/>
    <w:rPr>
      <w:rFonts w:ascii="Arial" w:hAnsi="Arial" w:eastAsia="Arial" w:cs="Arial"/>
      <w:sz w:val="30"/>
      <w:szCs w:val="30"/>
    </w:rPr>
  </w:style>
  <w:style w:type="character" w:styleId="828">
    <w:name w:val="Heading 4 Char"/>
    <w:basedOn w:val="84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29">
    <w:name w:val="Heading 5 Char"/>
    <w:basedOn w:val="84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30">
    <w:name w:val="Heading 6 Char"/>
    <w:basedOn w:val="84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31">
    <w:name w:val="Heading 7 Char"/>
    <w:basedOn w:val="84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32">
    <w:name w:val="Heading 8 Char"/>
    <w:basedOn w:val="84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33">
    <w:name w:val="Heading 9 Char"/>
    <w:basedOn w:val="84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34">
    <w:name w:val="Title Char"/>
    <w:basedOn w:val="845"/>
    <w:uiPriority w:val="10"/>
    <w:qFormat/>
    <w:rPr>
      <w:sz w:val="48"/>
      <w:szCs w:val="48"/>
    </w:rPr>
  </w:style>
  <w:style w:type="character" w:styleId="835">
    <w:name w:val="Subtitle Char"/>
    <w:basedOn w:val="845"/>
    <w:uiPriority w:val="11"/>
    <w:qFormat/>
    <w:rPr>
      <w:sz w:val="24"/>
      <w:szCs w:val="24"/>
    </w:rPr>
  </w:style>
  <w:style w:type="character" w:styleId="836">
    <w:name w:val="Quote Char"/>
    <w:uiPriority w:val="29"/>
    <w:qFormat/>
    <w:rPr>
      <w:i/>
    </w:rPr>
  </w:style>
  <w:style w:type="character" w:styleId="837">
    <w:name w:val="Intense Quote Char"/>
    <w:uiPriority w:val="30"/>
    <w:qFormat/>
    <w:rPr>
      <w:i/>
    </w:rPr>
  </w:style>
  <w:style w:type="character" w:styleId="838">
    <w:name w:val="Header Char"/>
    <w:basedOn w:val="845"/>
    <w:uiPriority w:val="99"/>
    <w:qFormat/>
  </w:style>
  <w:style w:type="character" w:styleId="839">
    <w:name w:val="Footer Char"/>
    <w:basedOn w:val="845"/>
    <w:uiPriority w:val="99"/>
    <w:qFormat/>
  </w:style>
  <w:style w:type="character" w:styleId="840">
    <w:name w:val="Caption Char"/>
    <w:uiPriority w:val="99"/>
    <w:qFormat/>
  </w:style>
  <w:style w:type="character" w:styleId="841">
    <w:name w:val="Footnote Text Char"/>
    <w:uiPriority w:val="99"/>
    <w:qFormat/>
    <w:rPr>
      <w:sz w:val="18"/>
    </w:rPr>
  </w:style>
  <w:style w:type="character" w:styleId="842">
    <w:name w:val="Endnote Text Char"/>
    <w:uiPriority w:val="99"/>
    <w:qFormat/>
    <w:rPr>
      <w:sz w:val="20"/>
    </w:rPr>
  </w:style>
  <w:style w:type="character" w:styleId="843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44">
    <w:name w:val="endnote reference"/>
    <w:rPr>
      <w:vertAlign w:val="superscript"/>
    </w:rPr>
  </w:style>
  <w:style w:type="character" w:styleId="845" w:default="1">
    <w:name w:val="Default Paragraph Font"/>
    <w:uiPriority w:val="1"/>
    <w:semiHidden/>
    <w:unhideWhenUsed/>
    <w:qFormat/>
  </w:style>
  <w:style w:type="character" w:styleId="846" w:customStyle="1">
    <w:name w:val="Заголовок Знак"/>
    <w:qFormat/>
    <w:rPr>
      <w:b/>
      <w:bCs/>
      <w:sz w:val="24"/>
      <w:szCs w:val="24"/>
      <w:lang w:val="ru-RU" w:eastAsia="ru-RU" w:bidi="ar-SA"/>
    </w:rPr>
  </w:style>
  <w:style w:type="character" w:styleId="847" w:customStyle="1">
    <w:name w:val="Основной текст Знак"/>
    <w:qFormat/>
    <w:rPr>
      <w:lang w:val="ru-RU" w:eastAsia="ru-RU" w:bidi="ar-SA"/>
    </w:rPr>
  </w:style>
  <w:style w:type="character" w:styleId="848">
    <w:name w:val="page number"/>
    <w:basedOn w:val="845"/>
    <w:qFormat/>
  </w:style>
  <w:style w:type="character" w:styleId="849" w:customStyle="1">
    <w:name w:val="Основной текст 3 Знак"/>
    <w:qFormat/>
    <w:rPr>
      <w:sz w:val="16"/>
      <w:szCs w:val="16"/>
    </w:rPr>
  </w:style>
  <w:style w:type="character" w:styleId="850">
    <w:name w:val="annotation reference"/>
    <w:qFormat/>
    <w:rPr>
      <w:sz w:val="16"/>
      <w:szCs w:val="16"/>
    </w:rPr>
  </w:style>
  <w:style w:type="character" w:styleId="851" w:customStyle="1">
    <w:name w:val="Текст примечания Знак"/>
    <w:basedOn w:val="845"/>
    <w:qFormat/>
  </w:style>
  <w:style w:type="character" w:styleId="852" w:customStyle="1">
    <w:name w:val="Тема примечания Знак"/>
    <w:qFormat/>
    <w:rPr>
      <w:b/>
      <w:bCs/>
    </w:rPr>
  </w:style>
  <w:style w:type="character" w:styleId="853" w:customStyle="1">
    <w:name w:val="Заголовок 3 Знак"/>
    <w:semiHidden/>
    <w:qFormat/>
    <w:rPr>
      <w:rFonts w:ascii="Cambria" w:hAnsi="Cambria" w:eastAsia="Times New Roman" w:cs="Times New Roman"/>
      <w:b/>
      <w:bCs/>
      <w:color w:val="4f81bd"/>
    </w:rPr>
  </w:style>
  <w:style w:type="character" w:styleId="854" w:customStyle="1">
    <w:name w:val="Основной текст с отступом Знак"/>
    <w:basedOn w:val="845"/>
    <w:qFormat/>
  </w:style>
  <w:style w:type="character" w:styleId="855" w:customStyle="1">
    <w:name w:val="комментарий"/>
    <w:uiPriority w:val="99"/>
    <w:qFormat/>
    <w:rPr>
      <w:rFonts w:cs="Times New Roman"/>
      <w:b/>
      <w:bCs/>
      <w:i/>
      <w:iCs/>
      <w:shd w:val="clear" w:color="auto" w:fill="ffff99"/>
    </w:rPr>
  </w:style>
  <w:style w:type="character" w:styleId="856" w:customStyle="1">
    <w:name w:val="Текст сноски Знак"/>
    <w:basedOn w:val="845"/>
    <w:qFormat/>
  </w:style>
  <w:style w:type="character" w:styleId="857">
    <w:name w:val="Символ сноски"/>
    <w:qFormat/>
    <w:rPr>
      <w:vertAlign w:val="superscript"/>
    </w:rPr>
  </w:style>
  <w:style w:type="character" w:styleId="858">
    <w:name w:val="footnote reference"/>
    <w:rPr>
      <w:vertAlign w:val="superscript"/>
    </w:rPr>
  </w:style>
  <w:style w:type="character" w:styleId="859" w:customStyle="1">
    <w:name w:val="Верхний колонтитул Знак"/>
    <w:basedOn w:val="845"/>
    <w:uiPriority w:val="99"/>
    <w:qFormat/>
  </w:style>
  <w:style w:type="character" w:styleId="860">
    <w:name w:val="Hyperlink"/>
    <w:rPr>
      <w:color w:val="0000ff"/>
      <w:u w:val="single"/>
    </w:rPr>
  </w:style>
  <w:style w:type="character" w:styleId="861" w:customStyle="1">
    <w:name w:val="Нижний колонтитул Знак"/>
    <w:uiPriority w:val="99"/>
    <w:qFormat/>
  </w:style>
  <w:style w:type="character" w:styleId="862" w:customStyle="1">
    <w:name w:val="Название Знак"/>
    <w:qFormat/>
    <w:rPr>
      <w:b/>
      <w:bCs/>
      <w:sz w:val="24"/>
      <w:szCs w:val="24"/>
    </w:rPr>
  </w:style>
  <w:style w:type="character" w:styleId="863">
    <w:name w:val="Line Number"/>
  </w:style>
  <w:style w:type="character" w:styleId="864">
    <w:name w:val="Текст концевой сноски Знак"/>
    <w:qFormat/>
    <w:rPr>
      <w:sz w:val="20"/>
    </w:rPr>
  </w:style>
  <w:style w:type="character" w:styleId="865">
    <w:name w:val="Выделенная цитата Знак"/>
    <w:qFormat/>
    <w:rPr>
      <w:i/>
    </w:rPr>
  </w:style>
  <w:style w:type="character" w:styleId="866">
    <w:name w:val="Цитата 2 Знак"/>
    <w:qFormat/>
    <w:rPr>
      <w:i/>
    </w:rPr>
  </w:style>
  <w:style w:type="character" w:styleId="867">
    <w:name w:val="Подзаголовок Знак"/>
    <w:qFormat/>
    <w:rPr>
      <w:sz w:val="24"/>
      <w:szCs w:val="24"/>
    </w:rPr>
  </w:style>
  <w:style w:type="character" w:styleId="868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69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870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71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872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873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874">
    <w:name w:val="Заголовок 2 Знак"/>
    <w:qFormat/>
    <w:rPr>
      <w:rFonts w:ascii="Arial" w:hAnsi="Arial" w:eastAsia="Arial" w:cs="Arial"/>
      <w:sz w:val="34"/>
    </w:rPr>
  </w:style>
  <w:style w:type="character" w:styleId="875">
    <w:name w:val="Заголовок 1 Знак"/>
    <w:qFormat/>
    <w:rPr>
      <w:rFonts w:ascii="Arial" w:hAnsi="Arial" w:eastAsia="Arial" w:cs="Arial"/>
      <w:sz w:val="40"/>
      <w:szCs w:val="40"/>
    </w:rPr>
  </w:style>
  <w:style w:type="character" w:styleId="876">
    <w:name w:val="Font Style20"/>
    <w:qFormat/>
    <w:rPr>
      <w:rFonts w:ascii="Arial" w:hAnsi="Arial" w:cs="Arial"/>
      <w:sz w:val="20"/>
      <w:szCs w:val="20"/>
    </w:rPr>
  </w:style>
  <w:style w:type="character" w:styleId="877">
    <w:name w:val="Символ нумерации"/>
    <w:qFormat/>
  </w:style>
  <w:style w:type="paragraph" w:styleId="878">
    <w:name w:val="Заголовок"/>
    <w:basedOn w:val="815"/>
    <w:next w:val="879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879">
    <w:name w:val="Body Text"/>
    <w:basedOn w:val="815"/>
    <w:pPr>
      <w:spacing w:before="0" w:after="120"/>
    </w:pPr>
  </w:style>
  <w:style w:type="paragraph" w:styleId="880">
    <w:name w:val="List"/>
    <w:basedOn w:val="879"/>
    <w:rPr>
      <w:rFonts w:cs="Arial Unicode MS"/>
    </w:rPr>
  </w:style>
  <w:style w:type="paragraph" w:styleId="881">
    <w:name w:val="Caption"/>
    <w:basedOn w:val="8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882">
    <w:name w:val="Указатель"/>
    <w:basedOn w:val="815"/>
    <w:qFormat/>
    <w:pPr>
      <w:suppressLineNumbers/>
    </w:pPr>
    <w:rPr>
      <w:rFonts w:cs="Arial Unicode MS"/>
    </w:rPr>
  </w:style>
  <w:style w:type="paragraph" w:styleId="883">
    <w:name w:val="No Spacing"/>
    <w:uiPriority w:val="1"/>
    <w:qFormat/>
    <w:pPr>
      <w:jc w:val="left"/>
      <w:spacing w:before="0" w:after="0" w:line="240" w:lineRule="auto"/>
      <w:widowControl/>
    </w:pPr>
    <w:rPr>
      <w:rFonts w:ascii="Times New Roman" w:hAnsi="Times New Roman" w:eastAsia="Noto Serif CJK SC" w:cs="Arial Unicode MS"/>
      <w:color w:val="auto"/>
      <w:sz w:val="20"/>
      <w:szCs w:val="20"/>
      <w:lang w:val="ru-RU" w:eastAsia="ru-RU" w:bidi="ar-SA"/>
    </w:rPr>
  </w:style>
  <w:style w:type="paragraph" w:styleId="884">
    <w:name w:val="Subtitle"/>
    <w:basedOn w:val="815"/>
    <w:uiPriority w:val="11"/>
    <w:qFormat/>
    <w:pPr>
      <w:spacing w:before="200" w:after="200"/>
    </w:pPr>
    <w:rPr>
      <w:sz w:val="24"/>
      <w:szCs w:val="24"/>
    </w:rPr>
  </w:style>
  <w:style w:type="paragraph" w:styleId="885">
    <w:name w:val="Quote"/>
    <w:basedOn w:val="815"/>
    <w:uiPriority w:val="29"/>
    <w:qFormat/>
    <w:pPr>
      <w:ind w:left="720" w:right="720" w:firstLine="0"/>
    </w:pPr>
    <w:rPr>
      <w:i/>
    </w:rPr>
  </w:style>
  <w:style w:type="paragraph" w:styleId="886">
    <w:name w:val="Intense Quote"/>
    <w:basedOn w:val="815"/>
    <w:uiPriority w:val="30"/>
    <w:qFormat/>
    <w:pPr>
      <w:ind w:left="720" w:right="720" w:firstLine="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87">
    <w:name w:val="endnote text"/>
    <w:basedOn w:val="815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88">
    <w:name w:val="toc 1"/>
    <w:basedOn w:val="815"/>
    <w:uiPriority w:val="39"/>
    <w:unhideWhenUsed/>
    <w:pPr>
      <w:ind w:left="0" w:right="0" w:firstLine="0"/>
      <w:spacing w:before="0" w:after="57"/>
    </w:pPr>
  </w:style>
  <w:style w:type="paragraph" w:styleId="889">
    <w:name w:val="toc 2"/>
    <w:basedOn w:val="815"/>
    <w:uiPriority w:val="39"/>
    <w:unhideWhenUsed/>
    <w:pPr>
      <w:ind w:left="283" w:right="0" w:firstLine="0"/>
      <w:spacing w:before="0" w:after="57"/>
    </w:pPr>
  </w:style>
  <w:style w:type="paragraph" w:styleId="890">
    <w:name w:val="toc 3"/>
    <w:basedOn w:val="815"/>
    <w:uiPriority w:val="39"/>
    <w:unhideWhenUsed/>
    <w:pPr>
      <w:ind w:left="567" w:right="0" w:firstLine="0"/>
      <w:spacing w:before="0" w:after="57"/>
    </w:pPr>
  </w:style>
  <w:style w:type="paragraph" w:styleId="891">
    <w:name w:val="toc 4"/>
    <w:basedOn w:val="815"/>
    <w:uiPriority w:val="39"/>
    <w:unhideWhenUsed/>
    <w:pPr>
      <w:ind w:left="850" w:right="0" w:firstLine="0"/>
      <w:spacing w:before="0" w:after="57"/>
    </w:pPr>
  </w:style>
  <w:style w:type="paragraph" w:styleId="892">
    <w:name w:val="toc 5"/>
    <w:basedOn w:val="815"/>
    <w:uiPriority w:val="39"/>
    <w:unhideWhenUsed/>
    <w:pPr>
      <w:ind w:left="1134" w:right="0" w:firstLine="0"/>
      <w:spacing w:before="0" w:after="57"/>
    </w:pPr>
  </w:style>
  <w:style w:type="paragraph" w:styleId="893">
    <w:name w:val="toc 6"/>
    <w:basedOn w:val="815"/>
    <w:uiPriority w:val="39"/>
    <w:unhideWhenUsed/>
    <w:pPr>
      <w:ind w:left="1417" w:right="0" w:firstLine="0"/>
      <w:spacing w:before="0" w:after="57"/>
    </w:pPr>
  </w:style>
  <w:style w:type="paragraph" w:styleId="894">
    <w:name w:val="toc 7"/>
    <w:basedOn w:val="815"/>
    <w:uiPriority w:val="39"/>
    <w:unhideWhenUsed/>
    <w:pPr>
      <w:ind w:left="1701" w:right="0" w:firstLine="0"/>
      <w:spacing w:before="0" w:after="57"/>
    </w:pPr>
  </w:style>
  <w:style w:type="paragraph" w:styleId="895">
    <w:name w:val="toc 8"/>
    <w:basedOn w:val="815"/>
    <w:uiPriority w:val="39"/>
    <w:unhideWhenUsed/>
    <w:pPr>
      <w:ind w:left="1984" w:right="0" w:firstLine="0"/>
      <w:spacing w:before="0" w:after="57"/>
    </w:pPr>
  </w:style>
  <w:style w:type="paragraph" w:styleId="896">
    <w:name w:val="toc 9"/>
    <w:basedOn w:val="815"/>
    <w:uiPriority w:val="39"/>
    <w:unhideWhenUsed/>
    <w:pPr>
      <w:ind w:left="2268" w:right="0" w:firstLine="0"/>
      <w:spacing w:before="0" w:after="57"/>
    </w:pPr>
  </w:style>
  <w:style w:type="paragraph" w:styleId="897">
    <w:name w:val="Index Heading"/>
    <w:basedOn w:val="878"/>
  </w:style>
  <w:style w:type="paragraph" w:styleId="898">
    <w:name w:val="TOC Heading"/>
    <w:uiPriority w:val="39"/>
    <w:unhideWhenUsed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0"/>
      <w:szCs w:val="20"/>
      <w:lang w:val="ru-RU" w:eastAsia="ru-RU" w:bidi="ar-SA"/>
    </w:rPr>
  </w:style>
  <w:style w:type="paragraph" w:styleId="899">
    <w:name w:val="table of figures"/>
    <w:basedOn w:val="815"/>
    <w:uiPriority w:val="99"/>
    <w:unhideWhenUsed/>
    <w:qFormat/>
    <w:pPr>
      <w:spacing w:before="0" w:after="0" w:afterAutospacing="0"/>
    </w:pPr>
  </w:style>
  <w:style w:type="paragraph" w:styleId="900">
    <w:name w:val="Title"/>
    <w:basedOn w:val="815"/>
    <w:qFormat/>
    <w:pPr>
      <w:jc w:val="center"/>
    </w:pPr>
    <w:rPr>
      <w:b/>
      <w:bCs/>
      <w:sz w:val="24"/>
      <w:szCs w:val="24"/>
    </w:rPr>
  </w:style>
  <w:style w:type="paragraph" w:styleId="901" w:customStyle="1">
    <w:name w:val="Таблицы (моноширинный)"/>
    <w:basedOn w:val="815"/>
    <w:qFormat/>
    <w:pPr>
      <w:jc w:val="both"/>
    </w:pPr>
    <w:rPr>
      <w:rFonts w:ascii="Courier New" w:hAnsi="Courier New" w:cs="Courier New"/>
    </w:rPr>
  </w:style>
  <w:style w:type="paragraph" w:styleId="902">
    <w:name w:val="Body Text Indent 2"/>
    <w:basedOn w:val="815"/>
    <w:qFormat/>
    <w:pPr>
      <w:ind w:left="1843" w:firstLine="0"/>
      <w:jc w:val="both"/>
    </w:pPr>
    <w:rPr>
      <w:sz w:val="24"/>
    </w:rPr>
  </w:style>
  <w:style w:type="paragraph" w:styleId="903">
    <w:name w:val="Balloon Text"/>
    <w:basedOn w:val="815"/>
    <w:semiHidden/>
    <w:qFormat/>
    <w:rPr>
      <w:rFonts w:ascii="Tahoma" w:hAnsi="Tahoma" w:cs="Tahoma"/>
      <w:sz w:val="16"/>
      <w:szCs w:val="16"/>
    </w:rPr>
  </w:style>
  <w:style w:type="paragraph" w:styleId="904">
    <w:name w:val="Body Text 2"/>
    <w:basedOn w:val="815"/>
    <w:qFormat/>
    <w:pPr>
      <w:spacing w:before="0" w:after="120" w:line="480" w:lineRule="auto"/>
      <w:widowControl/>
    </w:pPr>
    <w:rPr>
      <w:sz w:val="24"/>
      <w:szCs w:val="24"/>
    </w:rPr>
  </w:style>
  <w:style w:type="paragraph" w:styleId="905">
    <w:name w:val="Колонтитул"/>
    <w:basedOn w:val="815"/>
    <w:qFormat/>
  </w:style>
  <w:style w:type="paragraph" w:styleId="906">
    <w:name w:val="Footer"/>
    <w:basedOn w:val="815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07">
    <w:name w:val="Body Text 3"/>
    <w:basedOn w:val="815"/>
    <w:qFormat/>
    <w:pPr>
      <w:spacing w:before="0" w:after="120"/>
    </w:pPr>
    <w:rPr>
      <w:sz w:val="16"/>
      <w:szCs w:val="16"/>
    </w:rPr>
  </w:style>
  <w:style w:type="paragraph" w:styleId="908">
    <w:name w:val="annotation text"/>
    <w:basedOn w:val="815"/>
    <w:qFormat/>
  </w:style>
  <w:style w:type="paragraph" w:styleId="909">
    <w:name w:val="annotation subject"/>
    <w:basedOn w:val="908"/>
    <w:qFormat/>
    <w:rPr>
      <w:b/>
      <w:bCs/>
    </w:rPr>
  </w:style>
  <w:style w:type="paragraph" w:styleId="910">
    <w:name w:val="List Paragraph"/>
    <w:basedOn w:val="815"/>
    <w:uiPriority w:val="34"/>
    <w:qFormat/>
    <w:pPr>
      <w:contextualSpacing/>
      <w:ind w:left="720" w:firstLine="0"/>
      <w:spacing w:before="0" w:after="0"/>
    </w:pPr>
  </w:style>
  <w:style w:type="paragraph" w:styleId="911" w:customStyle="1">
    <w:name w:val="Знак Знак Знак Знак Знак Знак Знак Знак Знак"/>
    <w:basedOn w:val="815"/>
    <w:uiPriority w:val="99"/>
    <w:qFormat/>
    <w:pPr>
      <w:jc w:val="both"/>
      <w:spacing w:before="0"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912" w:customStyle="1">
    <w:name w:val="Подпункт договора"/>
    <w:basedOn w:val="815"/>
    <w:qFormat/>
    <w:pPr>
      <w:jc w:val="both"/>
      <w:widowControl/>
      <w:tabs>
        <w:tab w:val="left" w:pos="360" w:leader="none"/>
        <w:tab w:val="clear" w:pos="708" w:leader="none"/>
      </w:tabs>
    </w:pPr>
    <w:rPr>
      <w:rFonts w:ascii="Arial" w:hAnsi="Arial"/>
    </w:rPr>
  </w:style>
  <w:style w:type="paragraph" w:styleId="913" w:customStyle="1">
    <w:name w:val="ConsNormal"/>
    <w:qFormat/>
    <w:pPr>
      <w:ind w:right="19772" w:firstLine="720"/>
      <w:jc w:val="left"/>
      <w:spacing w:before="0" w:after="0"/>
      <w:widowControl/>
    </w:pPr>
    <w:rPr>
      <w:rFonts w:ascii="Arial" w:hAnsi="Arial" w:eastAsia="Noto Serif CJK SC" w:cs="Arial Unicode MS"/>
      <w:color w:val="auto"/>
      <w:sz w:val="32"/>
      <w:szCs w:val="20"/>
      <w:lang w:val="ru-RU" w:eastAsia="en-US" w:bidi="ar-SA"/>
    </w:rPr>
  </w:style>
  <w:style w:type="paragraph" w:styleId="914" w:customStyle="1">
    <w:name w:val="Body Text Indent"/>
    <w:basedOn w:val="884"/>
    <w:semiHidden/>
    <w:pPr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u w:val="none"/>
      <w:vertAlign w:val="baseline"/>
      <w:lang w:val="ru-RU" w:eastAsia="ru-RU" w:bidi="ar-SA"/>
      <w14:ligatures w14:val="none"/>
    </w:rPr>
  </w:style>
  <w:style w:type="paragraph" w:styleId="915" w:customStyle="1">
    <w:name w:val="Знак"/>
    <w:basedOn w:val="815"/>
    <w:qFormat/>
    <w:pPr>
      <w:spacing w:before="0" w:after="160" w:line="240" w:lineRule="exact"/>
      <w:widowControl/>
    </w:pPr>
    <w:rPr>
      <w:rFonts w:ascii="Verdana" w:hAnsi="Verdana" w:cs="Verdana"/>
      <w:lang w:val="en-US" w:eastAsia="en-US"/>
    </w:rPr>
  </w:style>
  <w:style w:type="paragraph" w:styleId="916">
    <w:name w:val="footnote text"/>
    <w:basedOn w:val="815"/>
  </w:style>
  <w:style w:type="paragraph" w:styleId="917">
    <w:name w:val="List Bullet 3"/>
    <w:basedOn w:val="815"/>
    <w:uiPriority w:val="99"/>
    <w:unhideWhenUsed/>
    <w:qFormat/>
    <w:pPr>
      <w:ind w:firstLine="720"/>
      <w:jc w:val="both"/>
      <w:spacing w:before="120" w:after="0" w:line="360" w:lineRule="auto"/>
      <w:widowControl/>
      <w:tabs>
        <w:tab w:val="clear" w:pos="708" w:leader="none"/>
        <w:tab w:val="left" w:pos="1418" w:leader="none"/>
      </w:tabs>
    </w:pPr>
    <w:rPr>
      <w:rFonts w:eastAsia="Calibri"/>
      <w:i/>
      <w:iCs/>
      <w:sz w:val="24"/>
      <w:szCs w:val="24"/>
    </w:rPr>
  </w:style>
  <w:style w:type="paragraph" w:styleId="918" w:customStyle="1">
    <w:name w:val="Контракт-пункт"/>
    <w:basedOn w:val="815"/>
    <w:qFormat/>
    <w:pPr>
      <w:ind w:left="851" w:hanging="851"/>
      <w:jc w:val="both"/>
      <w:spacing w:line="360" w:lineRule="auto"/>
      <w:widowControl/>
      <w:tabs>
        <w:tab w:val="clear" w:pos="708" w:leader="none"/>
        <w:tab w:val="left" w:pos="851" w:leader="none"/>
      </w:tabs>
    </w:pPr>
    <w:rPr>
      <w:rFonts w:eastAsia="Calibri"/>
      <w:sz w:val="28"/>
      <w:szCs w:val="28"/>
    </w:rPr>
  </w:style>
  <w:style w:type="paragraph" w:styleId="919">
    <w:name w:val="Document Map"/>
    <w:basedOn w:val="815"/>
    <w:semiHidden/>
    <w:qFormat/>
    <w:pPr>
      <w:shd w:val="clear" w:color="auto" w:fill="000080"/>
    </w:pPr>
    <w:rPr>
      <w:rFonts w:ascii="Tahoma" w:hAnsi="Tahoma" w:cs="Tahoma"/>
    </w:rPr>
  </w:style>
  <w:style w:type="paragraph" w:styleId="920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0"/>
      <w:szCs w:val="20"/>
      <w:lang w:val="ru-RU" w:eastAsia="ru-RU" w:bidi="ar-SA"/>
    </w:rPr>
  </w:style>
  <w:style w:type="paragraph" w:styleId="921">
    <w:name w:val="Header"/>
    <w:basedOn w:val="815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22" w:customStyle="1">
    <w:name w:val="Пункт договора"/>
    <w:basedOn w:val="815"/>
    <w:qFormat/>
    <w:pPr>
      <w:jc w:val="both"/>
    </w:pPr>
    <w:rPr>
      <w:rFonts w:ascii="Arial" w:hAnsi="Arial"/>
    </w:rPr>
  </w:style>
  <w:style w:type="paragraph" w:styleId="923" w:customStyle="1">
    <w:name w:val="Знак Знак Знак Знак Знак Знак Знак Знак Знак1"/>
    <w:basedOn w:val="815"/>
    <w:qFormat/>
    <w:pPr>
      <w:jc w:val="both"/>
      <w:spacing w:before="0"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924" w:customStyle="1">
    <w:name w:val="Обычный1"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0"/>
      <w:szCs w:val="20"/>
      <w:lang w:val="ru-RU" w:eastAsia="ru-RU" w:bidi="ar-SA"/>
    </w:rPr>
  </w:style>
  <w:style w:type="paragraph" w:styleId="925" w:customStyle="1">
    <w:name w:val="ConsPlusNormal"/>
    <w:qFormat/>
    <w:pPr>
      <w:jc w:val="left"/>
      <w:spacing w:before="0" w:after="0"/>
      <w:widowControl w:val="off"/>
    </w:pPr>
    <w:rPr>
      <w:rFonts w:ascii="Calibri" w:hAnsi="Calibri" w:eastAsia="Noto Serif CJK SC" w:cs="Calibri"/>
      <w:color w:val="auto"/>
      <w:sz w:val="22"/>
      <w:szCs w:val="20"/>
      <w:lang w:val="ru-RU" w:eastAsia="ru-RU" w:bidi="ar-SA"/>
    </w:rPr>
  </w:style>
  <w:style w:type="paragraph" w:styleId="926">
    <w:name w:val="Normal (Web)"/>
    <w:basedOn w:val="815"/>
    <w:uiPriority w:val="99"/>
    <w:unhideWhenUsed/>
    <w:qFormat/>
    <w:pPr>
      <w:spacing w:beforeAutospacing="1" w:afterAutospacing="1"/>
      <w:widowControl/>
    </w:pPr>
    <w:rPr>
      <w:sz w:val="24"/>
      <w:szCs w:val="24"/>
    </w:rPr>
  </w:style>
  <w:style w:type="paragraph" w:styleId="927" w:customStyle="1">
    <w:name w:val="StGen0"/>
    <w:basedOn w:val="815"/>
    <w:qFormat/>
    <w:pPr>
      <w:jc w:val="center"/>
    </w:pPr>
    <w:rPr>
      <w:b/>
      <w:bCs/>
      <w:sz w:val="24"/>
      <w:szCs w:val="24"/>
    </w:rPr>
  </w:style>
  <w:style w:type="paragraph" w:styleId="928" w:customStyle="1">
    <w:name w:val="ConsNonformat"/>
    <w:qFormat/>
    <w:pPr>
      <w:jc w:val="left"/>
      <w:spacing w:before="0" w:after="0"/>
      <w:widowControl/>
    </w:pPr>
    <w:rPr>
      <w:rFonts w:ascii="Courier New" w:hAnsi="Courier New" w:eastAsia="Noto Serif CJK SC" w:cs="Courier New"/>
      <w:color w:val="auto"/>
      <w:sz w:val="20"/>
      <w:szCs w:val="20"/>
      <w:lang w:val="ru-RU" w:eastAsia="ru-RU" w:bidi="ar-SA"/>
    </w:rPr>
  </w:style>
  <w:style w:type="paragraph" w:styleId="929" w:customStyle="1">
    <w:name w:val="text"/>
    <w:qFormat/>
    <w:pPr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ru-RU" w:eastAsia="ru-RU" w:bidi="ar-SA"/>
      <w14:ligatures w14:val="none"/>
    </w:rPr>
  </w:style>
  <w:style w:type="paragraph" w:styleId="930" w:customStyle="1">
    <w:name w:val="Table Paragraph"/>
    <w:uiPriority w:val="1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</w:pPr>
    <w:rPr>
      <w:rFonts w:ascii="Microsoft Sans Serif" w:hAnsi="Microsoft Sans Serif" w:eastAsia="Microsoft Sans Serif" w:cs="Microsoft Sans Serif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u w:val="none"/>
      <w:vertAlign w:val="baseline"/>
      <w:lang w:val="ru-RU" w:eastAsia="en-US" w:bidi="ar-SA"/>
      <w14:ligatures w14:val="none"/>
    </w:rPr>
  </w:style>
  <w:style w:type="paragraph" w:styleId="931">
    <w:name w:val="Содержимое таблицы"/>
    <w:basedOn w:val="815"/>
    <w:qFormat/>
    <w:pPr>
      <w:widowControl w:val="off"/>
      <w:suppressLineNumbers/>
    </w:pPr>
  </w:style>
  <w:style w:type="paragraph" w:styleId="932">
    <w:name w:val="Заголовок таблицы"/>
    <w:basedOn w:val="931"/>
    <w:qFormat/>
    <w:pPr>
      <w:jc w:val="center"/>
      <w:suppressLineNumbers/>
    </w:pPr>
    <w:rPr>
      <w:b/>
      <w:bCs/>
    </w:rPr>
  </w:style>
  <w:style w:type="paragraph" w:styleId="933">
    <w:name w:val="Стиль1"/>
    <w:qFormat/>
    <w:pPr>
      <w:contextualSpacing/>
      <w:ind w:firstLine="709"/>
      <w:jc w:val="both"/>
      <w:spacing w:before="0" w:after="0"/>
      <w:widowControl/>
      <w:tabs>
        <w:tab w:val="clear" w:pos="708" w:leader="none"/>
        <w:tab w:val="left" w:pos="1418" w:leader="none"/>
      </w:tabs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934">
    <w:name w:val="Style5"/>
    <w:basedOn w:val="815"/>
    <w:qFormat/>
    <w:pPr>
      <w:jc w:val="center"/>
      <w:spacing w:line="250" w:lineRule="exact"/>
      <w:widowControl w:val="off"/>
    </w:pPr>
    <w:rPr>
      <w:sz w:val="24"/>
      <w:szCs w:val="24"/>
    </w:rPr>
  </w:style>
  <w:style w:type="numbering" w:styleId="935" w:default="1">
    <w:name w:val="No List"/>
    <w:uiPriority w:val="99"/>
    <w:semiHidden/>
    <w:unhideWhenUsed/>
    <w:qFormat/>
  </w:style>
  <w:style w:type="table" w:styleId="410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customXml" Target="../customXml/item1.xml" /><Relationship Id="rId20" Type="http://schemas.openxmlformats.org/officeDocument/2006/relationships/customXml" Target="../customXml/item2.xml" /><Relationship Id="rId21" Type="http://schemas.openxmlformats.org/officeDocument/2006/relationships/customXml" Target="../customXml/item3.xml" /><Relationship Id="rId22" Type="http://schemas.openxmlformats.org/officeDocument/2006/relationships/customXml" Target="../customXml/item4.xml" /><Relationship Id="rId23" Type="http://schemas.openxmlformats.org/officeDocument/2006/relationships/hyperlink" Target="http://www.cbr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Inter RAO UES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dc:description/>
  <dc:language>ru-RU</dc:language>
  <cp:lastModifiedBy>fedyasheva_ig</cp:lastModifiedBy>
  <cp:revision>120</cp:revision>
  <dcterms:modified xsi:type="dcterms:W3CDTF">2026-08-18T04:30:18Z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